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037" w:rsidRDefault="000A7037" w:rsidP="006E5D3B">
      <w:pPr>
        <w:tabs>
          <w:tab w:val="center" w:pos="4680"/>
          <w:tab w:val="left" w:pos="8320"/>
        </w:tabs>
        <w:jc w:val="center"/>
        <w:outlineLvl w:val="3"/>
        <w:rPr>
          <w:rFonts w:asciiTheme="majorHAnsi" w:eastAsia="Times New Roman" w:hAnsiTheme="majorHAnsi" w:cstheme="majorHAnsi"/>
          <w:b/>
          <w:bCs/>
          <w:color w:val="000000" w:themeColor="text1"/>
          <w:sz w:val="22"/>
          <w:szCs w:val="22"/>
        </w:rPr>
      </w:pPr>
      <w:bookmarkStart w:id="0" w:name="_GoBack"/>
      <w:bookmarkEnd w:id="0"/>
    </w:p>
    <w:p w:rsidR="009721B6" w:rsidRDefault="009721B6" w:rsidP="009721B6">
      <w:pPr>
        <w:tabs>
          <w:tab w:val="center" w:pos="4680"/>
          <w:tab w:val="left" w:pos="8320"/>
        </w:tabs>
        <w:jc w:val="center"/>
        <w:outlineLvl w:val="3"/>
        <w:rPr>
          <w:rFonts w:asciiTheme="majorHAnsi" w:eastAsia="Times New Roman" w:hAnsiTheme="majorHAnsi" w:cstheme="majorHAnsi"/>
          <w:b/>
          <w:bCs/>
          <w:color w:val="000000" w:themeColor="text1"/>
          <w:sz w:val="22"/>
          <w:szCs w:val="22"/>
        </w:rPr>
      </w:pPr>
      <w:r>
        <w:rPr>
          <w:rFonts w:asciiTheme="majorHAnsi" w:eastAsia="Times New Roman" w:hAnsiTheme="majorHAnsi" w:cstheme="majorHAnsi"/>
          <w:b/>
          <w:bCs/>
          <w:color w:val="000000" w:themeColor="text1"/>
          <w:sz w:val="22"/>
          <w:szCs w:val="22"/>
        </w:rPr>
        <w:t>Complete College Georgia</w:t>
      </w:r>
    </w:p>
    <w:p w:rsidR="009721B6" w:rsidRDefault="009721B6" w:rsidP="009721B6">
      <w:pPr>
        <w:tabs>
          <w:tab w:val="center" w:pos="4680"/>
          <w:tab w:val="left" w:pos="8320"/>
        </w:tabs>
        <w:jc w:val="center"/>
        <w:outlineLvl w:val="3"/>
        <w:rPr>
          <w:rFonts w:asciiTheme="majorHAnsi" w:eastAsia="Times New Roman" w:hAnsiTheme="majorHAnsi" w:cstheme="majorHAnsi"/>
          <w:b/>
          <w:bCs/>
          <w:color w:val="000000" w:themeColor="text1"/>
          <w:sz w:val="22"/>
          <w:szCs w:val="22"/>
        </w:rPr>
      </w:pPr>
      <w:r>
        <w:rPr>
          <w:rFonts w:asciiTheme="majorHAnsi" w:eastAsia="Times New Roman" w:hAnsiTheme="majorHAnsi" w:cstheme="majorHAnsi"/>
          <w:b/>
          <w:bCs/>
          <w:color w:val="000000" w:themeColor="text1"/>
          <w:sz w:val="22"/>
          <w:szCs w:val="22"/>
        </w:rPr>
        <w:t>Campus Plan Update</w:t>
      </w:r>
    </w:p>
    <w:p w:rsidR="009721B6" w:rsidRDefault="009721B6" w:rsidP="009721B6">
      <w:pPr>
        <w:tabs>
          <w:tab w:val="center" w:pos="4680"/>
          <w:tab w:val="left" w:pos="8320"/>
        </w:tabs>
        <w:jc w:val="center"/>
        <w:outlineLvl w:val="3"/>
        <w:rPr>
          <w:rFonts w:asciiTheme="majorHAnsi" w:eastAsia="Times New Roman" w:hAnsiTheme="majorHAnsi" w:cstheme="majorHAnsi"/>
          <w:b/>
          <w:bCs/>
          <w:color w:val="000000" w:themeColor="text1"/>
          <w:sz w:val="22"/>
          <w:szCs w:val="22"/>
        </w:rPr>
      </w:pPr>
      <w:r>
        <w:rPr>
          <w:rFonts w:asciiTheme="majorHAnsi" w:eastAsia="Times New Roman" w:hAnsiTheme="majorHAnsi" w:cstheme="majorHAnsi"/>
          <w:b/>
          <w:bCs/>
          <w:color w:val="000000" w:themeColor="text1"/>
          <w:sz w:val="22"/>
          <w:szCs w:val="22"/>
        </w:rPr>
        <w:t>2018-2019</w:t>
      </w:r>
    </w:p>
    <w:p w:rsidR="009721B6" w:rsidRDefault="009721B6" w:rsidP="009721B6">
      <w:pPr>
        <w:tabs>
          <w:tab w:val="center" w:pos="4680"/>
          <w:tab w:val="left" w:pos="8320"/>
        </w:tabs>
        <w:jc w:val="center"/>
        <w:outlineLvl w:val="3"/>
        <w:rPr>
          <w:rFonts w:asciiTheme="majorHAnsi" w:eastAsia="Times New Roman" w:hAnsiTheme="majorHAnsi" w:cstheme="majorHAnsi"/>
          <w:b/>
          <w:bCs/>
          <w:color w:val="000000" w:themeColor="text1"/>
          <w:sz w:val="22"/>
          <w:szCs w:val="22"/>
        </w:rPr>
      </w:pPr>
    </w:p>
    <w:p w:rsidR="0092666A" w:rsidRDefault="0092666A" w:rsidP="006E5D3B">
      <w:pPr>
        <w:tabs>
          <w:tab w:val="center" w:pos="4680"/>
          <w:tab w:val="left" w:pos="8320"/>
        </w:tabs>
        <w:jc w:val="center"/>
        <w:outlineLvl w:val="3"/>
        <w:rPr>
          <w:rFonts w:asciiTheme="majorHAnsi" w:eastAsia="Times New Roman" w:hAnsiTheme="majorHAnsi" w:cstheme="majorHAnsi"/>
          <w:b/>
          <w:bCs/>
          <w:color w:val="000000" w:themeColor="text1"/>
          <w:sz w:val="22"/>
          <w:szCs w:val="22"/>
        </w:rPr>
      </w:pPr>
      <w:r>
        <w:rPr>
          <w:rFonts w:asciiTheme="majorHAnsi" w:eastAsia="Times New Roman" w:hAnsiTheme="majorHAnsi" w:cstheme="majorHAnsi"/>
          <w:b/>
          <w:bCs/>
          <w:color w:val="000000" w:themeColor="text1"/>
          <w:sz w:val="22"/>
          <w:szCs w:val="22"/>
        </w:rPr>
        <w:t>University of West Georgia</w:t>
      </w:r>
    </w:p>
    <w:p w:rsidR="0092666A" w:rsidRDefault="0092666A" w:rsidP="006E5D3B">
      <w:pPr>
        <w:tabs>
          <w:tab w:val="center" w:pos="4680"/>
          <w:tab w:val="left" w:pos="8320"/>
        </w:tabs>
        <w:jc w:val="center"/>
        <w:outlineLvl w:val="3"/>
        <w:rPr>
          <w:rFonts w:asciiTheme="majorHAnsi" w:eastAsia="Times New Roman" w:hAnsiTheme="majorHAnsi" w:cstheme="majorHAnsi"/>
          <w:b/>
          <w:bCs/>
          <w:color w:val="000000" w:themeColor="text1"/>
          <w:sz w:val="22"/>
          <w:szCs w:val="22"/>
        </w:rPr>
      </w:pPr>
    </w:p>
    <w:p w:rsidR="00B469BD" w:rsidRPr="00062652" w:rsidRDefault="00435A9B" w:rsidP="006E5D3B">
      <w:pPr>
        <w:tabs>
          <w:tab w:val="center" w:pos="4680"/>
          <w:tab w:val="left" w:pos="8320"/>
        </w:tabs>
        <w:jc w:val="center"/>
        <w:outlineLvl w:val="3"/>
        <w:rPr>
          <w:rFonts w:asciiTheme="majorHAnsi" w:eastAsia="Times New Roman" w:hAnsiTheme="majorHAnsi" w:cstheme="majorHAnsi"/>
          <w:b/>
          <w:bCs/>
          <w:color w:val="000000" w:themeColor="text1"/>
          <w:sz w:val="22"/>
          <w:szCs w:val="22"/>
        </w:rPr>
      </w:pPr>
      <w:r w:rsidRPr="00062652">
        <w:rPr>
          <w:rFonts w:asciiTheme="majorHAnsi" w:eastAsia="Times New Roman" w:hAnsiTheme="majorHAnsi" w:cstheme="majorHAnsi"/>
          <w:b/>
          <w:bCs/>
          <w:color w:val="000000" w:themeColor="text1"/>
          <w:sz w:val="22"/>
          <w:szCs w:val="22"/>
        </w:rPr>
        <w:t>SECTION</w:t>
      </w:r>
      <w:r w:rsidR="00B469BD" w:rsidRPr="00062652">
        <w:rPr>
          <w:rFonts w:asciiTheme="majorHAnsi" w:eastAsia="Times New Roman" w:hAnsiTheme="majorHAnsi" w:cstheme="majorHAnsi"/>
          <w:b/>
          <w:bCs/>
          <w:color w:val="000000" w:themeColor="text1"/>
          <w:sz w:val="22"/>
          <w:szCs w:val="22"/>
        </w:rPr>
        <w:t xml:space="preserve"> 1. </w:t>
      </w:r>
      <w:r w:rsidR="00F179A7" w:rsidRPr="00062652">
        <w:rPr>
          <w:rFonts w:asciiTheme="majorHAnsi" w:eastAsia="Times New Roman" w:hAnsiTheme="majorHAnsi" w:cstheme="majorHAnsi"/>
          <w:b/>
          <w:bCs/>
          <w:color w:val="000000" w:themeColor="text1"/>
          <w:sz w:val="22"/>
          <w:szCs w:val="22"/>
        </w:rPr>
        <w:t>I</w:t>
      </w:r>
      <w:r w:rsidR="00B469BD" w:rsidRPr="00062652">
        <w:rPr>
          <w:rFonts w:asciiTheme="majorHAnsi" w:eastAsia="Times New Roman" w:hAnsiTheme="majorHAnsi" w:cstheme="majorHAnsi"/>
          <w:b/>
          <w:bCs/>
          <w:color w:val="000000" w:themeColor="text1"/>
          <w:sz w:val="22"/>
          <w:szCs w:val="22"/>
        </w:rPr>
        <w:t>NSTITUTIONAL MISSION AND STUDENT BODY PROFILE</w:t>
      </w:r>
    </w:p>
    <w:p w:rsidR="00B469BD" w:rsidRPr="00062652" w:rsidRDefault="00B469BD" w:rsidP="003D5D99">
      <w:pPr>
        <w:outlineLvl w:val="3"/>
        <w:rPr>
          <w:rFonts w:asciiTheme="majorHAnsi" w:eastAsia="Times New Roman" w:hAnsiTheme="majorHAnsi" w:cstheme="majorHAnsi"/>
          <w:bCs/>
          <w:color w:val="0070C0"/>
          <w:sz w:val="22"/>
          <w:szCs w:val="22"/>
        </w:rPr>
      </w:pPr>
    </w:p>
    <w:p w:rsidR="00803F46" w:rsidRPr="00062652" w:rsidRDefault="00803F46" w:rsidP="0047123A">
      <w:pPr>
        <w:jc w:val="both"/>
        <w:outlineLvl w:val="3"/>
        <w:rPr>
          <w:rFonts w:asciiTheme="majorHAnsi" w:eastAsia="Times New Roman" w:hAnsiTheme="majorHAnsi" w:cstheme="majorHAnsi"/>
          <w:bCs/>
          <w:color w:val="333333"/>
          <w:sz w:val="22"/>
          <w:szCs w:val="22"/>
        </w:rPr>
      </w:pPr>
      <w:r w:rsidRPr="00062652">
        <w:rPr>
          <w:rFonts w:asciiTheme="majorHAnsi" w:eastAsia="Times New Roman" w:hAnsiTheme="majorHAnsi" w:cstheme="majorHAnsi"/>
          <w:bCs/>
          <w:color w:val="333333"/>
          <w:sz w:val="22"/>
          <w:szCs w:val="22"/>
        </w:rPr>
        <w:t>The University of West Georgia, a charter member of the University System of Georgia, is a comprehensive, residential institution providing selectively focused undergraduate and graduate education primarily to the people of West Georgia. The University is also committed to regional outreach through a collaborative network of external degree centers, course offerings at off-campus sites</w:t>
      </w:r>
      <w:r w:rsidR="00506166" w:rsidRPr="00062652">
        <w:rPr>
          <w:rFonts w:asciiTheme="majorHAnsi" w:eastAsia="Times New Roman" w:hAnsiTheme="majorHAnsi" w:cstheme="majorHAnsi"/>
          <w:bCs/>
          <w:color w:val="333333"/>
          <w:sz w:val="22"/>
          <w:szCs w:val="22"/>
        </w:rPr>
        <w:t>,</w:t>
      </w:r>
      <w:r w:rsidRPr="00062652">
        <w:rPr>
          <w:rFonts w:asciiTheme="majorHAnsi" w:eastAsia="Times New Roman" w:hAnsiTheme="majorHAnsi" w:cstheme="majorHAnsi"/>
          <w:bCs/>
          <w:color w:val="333333"/>
          <w:sz w:val="22"/>
          <w:szCs w:val="22"/>
        </w:rPr>
        <w:t xml:space="preserve"> and an extensive program of continuing education for personal and professional development. Opportunities for intellectual and personal development are provided through quality teaching, scholarly inquiry, creative endeavor, and service for the public good. </w:t>
      </w:r>
    </w:p>
    <w:p w:rsidR="00803F46" w:rsidRPr="00062652" w:rsidRDefault="00803F46" w:rsidP="0047123A">
      <w:pPr>
        <w:jc w:val="both"/>
        <w:outlineLvl w:val="3"/>
        <w:rPr>
          <w:rFonts w:asciiTheme="majorHAnsi" w:eastAsia="Times New Roman" w:hAnsiTheme="majorHAnsi" w:cstheme="majorHAnsi"/>
          <w:bCs/>
          <w:color w:val="000000" w:themeColor="text1"/>
          <w:sz w:val="22"/>
          <w:szCs w:val="22"/>
        </w:rPr>
      </w:pPr>
    </w:p>
    <w:p w:rsidR="007439A7" w:rsidRPr="00062652" w:rsidRDefault="00803F46" w:rsidP="0047123A">
      <w:pPr>
        <w:jc w:val="both"/>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 xml:space="preserve">The University of West Georgia has </w:t>
      </w:r>
      <w:r w:rsidR="009D799E" w:rsidRPr="00062652">
        <w:rPr>
          <w:rFonts w:asciiTheme="majorHAnsi" w:eastAsia="Times New Roman" w:hAnsiTheme="majorHAnsi" w:cstheme="majorHAnsi"/>
          <w:bCs/>
          <w:color w:val="000000" w:themeColor="text1"/>
          <w:sz w:val="22"/>
          <w:szCs w:val="22"/>
        </w:rPr>
        <w:t>90</w:t>
      </w:r>
      <w:r w:rsidRPr="00062652">
        <w:rPr>
          <w:rFonts w:asciiTheme="majorHAnsi" w:eastAsia="Times New Roman" w:hAnsiTheme="majorHAnsi" w:cstheme="majorHAnsi"/>
          <w:bCs/>
          <w:color w:val="000000" w:themeColor="text1"/>
          <w:sz w:val="22"/>
          <w:szCs w:val="22"/>
        </w:rPr>
        <w:t xml:space="preserve"> active programs of study, including </w:t>
      </w:r>
      <w:r w:rsidR="0049040F" w:rsidRPr="00062652">
        <w:rPr>
          <w:rFonts w:asciiTheme="majorHAnsi" w:eastAsia="Times New Roman" w:hAnsiTheme="majorHAnsi" w:cstheme="majorHAnsi"/>
          <w:bCs/>
          <w:color w:val="000000" w:themeColor="text1"/>
          <w:sz w:val="22"/>
          <w:szCs w:val="22"/>
        </w:rPr>
        <w:t>45</w:t>
      </w:r>
      <w:r w:rsidRPr="00062652">
        <w:rPr>
          <w:rFonts w:asciiTheme="majorHAnsi" w:eastAsia="Times New Roman" w:hAnsiTheme="majorHAnsi" w:cstheme="majorHAnsi"/>
          <w:bCs/>
          <w:color w:val="000000" w:themeColor="text1"/>
          <w:sz w:val="22"/>
          <w:szCs w:val="22"/>
        </w:rPr>
        <w:t xml:space="preserve"> at the bachelor’s level, </w:t>
      </w:r>
      <w:r w:rsidR="009D799E" w:rsidRPr="00062652">
        <w:rPr>
          <w:rFonts w:asciiTheme="majorHAnsi" w:eastAsia="Times New Roman" w:hAnsiTheme="majorHAnsi" w:cstheme="majorHAnsi"/>
          <w:bCs/>
          <w:color w:val="000000" w:themeColor="text1"/>
          <w:sz w:val="22"/>
          <w:szCs w:val="22"/>
        </w:rPr>
        <w:t>3</w:t>
      </w:r>
      <w:r w:rsidR="0049040F" w:rsidRPr="00062652">
        <w:rPr>
          <w:rFonts w:asciiTheme="majorHAnsi" w:eastAsia="Times New Roman" w:hAnsiTheme="majorHAnsi" w:cstheme="majorHAnsi"/>
          <w:bCs/>
          <w:color w:val="000000" w:themeColor="text1"/>
          <w:sz w:val="22"/>
          <w:szCs w:val="22"/>
        </w:rPr>
        <w:t>1</w:t>
      </w:r>
      <w:r w:rsidRPr="00062652">
        <w:rPr>
          <w:rFonts w:asciiTheme="majorHAnsi" w:eastAsia="Times New Roman" w:hAnsiTheme="majorHAnsi" w:cstheme="majorHAnsi"/>
          <w:bCs/>
          <w:color w:val="000000" w:themeColor="text1"/>
          <w:sz w:val="22"/>
          <w:szCs w:val="22"/>
        </w:rPr>
        <w:t xml:space="preserve"> at the master’s and specialist levels, </w:t>
      </w:r>
      <w:r w:rsidR="0049040F" w:rsidRPr="00062652">
        <w:rPr>
          <w:rFonts w:asciiTheme="majorHAnsi" w:eastAsia="Times New Roman" w:hAnsiTheme="majorHAnsi" w:cstheme="majorHAnsi"/>
          <w:bCs/>
          <w:color w:val="000000" w:themeColor="text1"/>
          <w:sz w:val="22"/>
          <w:szCs w:val="22"/>
        </w:rPr>
        <w:t>six</w:t>
      </w:r>
      <w:r w:rsidRPr="00062652">
        <w:rPr>
          <w:rFonts w:asciiTheme="majorHAnsi" w:eastAsia="Times New Roman" w:hAnsiTheme="majorHAnsi" w:cstheme="majorHAnsi"/>
          <w:bCs/>
          <w:color w:val="000000" w:themeColor="text1"/>
          <w:sz w:val="22"/>
          <w:szCs w:val="22"/>
        </w:rPr>
        <w:t xml:space="preserve"> at the doctoral level, and </w:t>
      </w:r>
      <w:r w:rsidR="009D799E" w:rsidRPr="00062652">
        <w:rPr>
          <w:rFonts w:asciiTheme="majorHAnsi" w:eastAsia="Times New Roman" w:hAnsiTheme="majorHAnsi" w:cstheme="majorHAnsi"/>
          <w:bCs/>
          <w:color w:val="000000" w:themeColor="text1"/>
          <w:sz w:val="22"/>
          <w:szCs w:val="22"/>
        </w:rPr>
        <w:t>11</w:t>
      </w:r>
      <w:r w:rsidRPr="00062652">
        <w:rPr>
          <w:rFonts w:asciiTheme="majorHAnsi" w:eastAsia="Times New Roman" w:hAnsiTheme="majorHAnsi" w:cstheme="majorHAnsi"/>
          <w:bCs/>
          <w:color w:val="000000" w:themeColor="text1"/>
          <w:sz w:val="22"/>
          <w:szCs w:val="22"/>
        </w:rPr>
        <w:t xml:space="preserve"> at the advanced certificate level. The university </w:t>
      </w:r>
      <w:r w:rsidR="000F55BC" w:rsidRPr="00062652">
        <w:rPr>
          <w:rFonts w:asciiTheme="majorHAnsi" w:eastAsia="Times New Roman" w:hAnsiTheme="majorHAnsi" w:cstheme="majorHAnsi"/>
          <w:bCs/>
          <w:color w:val="000000" w:themeColor="text1"/>
          <w:sz w:val="22"/>
          <w:szCs w:val="22"/>
        </w:rPr>
        <w:t>conferred</w:t>
      </w:r>
      <w:r w:rsidRPr="00062652">
        <w:rPr>
          <w:rFonts w:asciiTheme="majorHAnsi" w:eastAsia="Times New Roman" w:hAnsiTheme="majorHAnsi" w:cstheme="majorHAnsi"/>
          <w:bCs/>
          <w:color w:val="000000" w:themeColor="text1"/>
          <w:sz w:val="22"/>
          <w:szCs w:val="22"/>
        </w:rPr>
        <w:t xml:space="preserve"> </w:t>
      </w:r>
      <w:r w:rsidR="007439A7" w:rsidRPr="00062652">
        <w:rPr>
          <w:rFonts w:asciiTheme="majorHAnsi" w:eastAsia="Times New Roman" w:hAnsiTheme="majorHAnsi" w:cstheme="majorHAnsi"/>
          <w:bCs/>
          <w:color w:val="000000" w:themeColor="text1"/>
          <w:sz w:val="22"/>
          <w:szCs w:val="22"/>
        </w:rPr>
        <w:t>2,659 degrees and awards in fiscal year 2018. This is a 1.8% increase over the number awarded in fiscal year 2017 (2,612) and a 24% increase over the number awarded in fiscal year 2012 (2,136)</w:t>
      </w:r>
      <w:r w:rsidR="00506166" w:rsidRPr="00062652">
        <w:rPr>
          <w:rFonts w:asciiTheme="majorHAnsi" w:eastAsia="Times New Roman" w:hAnsiTheme="majorHAnsi" w:cstheme="majorHAnsi"/>
          <w:bCs/>
          <w:color w:val="000000" w:themeColor="text1"/>
          <w:sz w:val="22"/>
          <w:szCs w:val="22"/>
        </w:rPr>
        <w:t>, which is</w:t>
      </w:r>
      <w:r w:rsidR="007439A7" w:rsidRPr="00062652">
        <w:rPr>
          <w:rFonts w:asciiTheme="majorHAnsi" w:eastAsia="Times New Roman" w:hAnsiTheme="majorHAnsi" w:cstheme="majorHAnsi"/>
          <w:bCs/>
          <w:color w:val="000000" w:themeColor="text1"/>
          <w:sz w:val="22"/>
          <w:szCs w:val="22"/>
        </w:rPr>
        <w:t xml:space="preserve"> the baseline year for the Complete College Georgia initiative.</w:t>
      </w:r>
      <w:r w:rsidR="00AE3D58" w:rsidRPr="00062652">
        <w:rPr>
          <w:rFonts w:asciiTheme="majorHAnsi" w:eastAsia="Times New Roman" w:hAnsiTheme="majorHAnsi" w:cstheme="majorHAnsi"/>
          <w:bCs/>
          <w:color w:val="000000" w:themeColor="text1"/>
          <w:sz w:val="22"/>
          <w:szCs w:val="22"/>
        </w:rPr>
        <w:t xml:space="preserve"> </w:t>
      </w:r>
    </w:p>
    <w:p w:rsidR="00803F46" w:rsidRPr="00062652" w:rsidRDefault="00803F46" w:rsidP="0047123A">
      <w:pPr>
        <w:jc w:val="both"/>
        <w:outlineLvl w:val="3"/>
        <w:rPr>
          <w:rFonts w:asciiTheme="majorHAnsi" w:eastAsia="Times New Roman" w:hAnsiTheme="majorHAnsi" w:cstheme="majorHAnsi"/>
          <w:bCs/>
          <w:color w:val="000000" w:themeColor="text1"/>
          <w:sz w:val="22"/>
          <w:szCs w:val="22"/>
        </w:rPr>
      </w:pPr>
    </w:p>
    <w:p w:rsidR="00FB7BD6" w:rsidRPr="00062652" w:rsidRDefault="006E3DF9" w:rsidP="0047123A">
      <w:pPr>
        <w:jc w:val="both"/>
        <w:outlineLvl w:val="3"/>
        <w:rPr>
          <w:rFonts w:asciiTheme="majorHAnsi" w:eastAsia="Times New Roman" w:hAnsiTheme="majorHAnsi" w:cstheme="majorHAnsi"/>
          <w:bCs/>
          <w:color w:val="333333"/>
          <w:sz w:val="22"/>
          <w:szCs w:val="22"/>
        </w:rPr>
      </w:pPr>
      <w:r w:rsidRPr="00062652">
        <w:rPr>
          <w:rFonts w:asciiTheme="majorHAnsi" w:eastAsia="Times New Roman" w:hAnsiTheme="majorHAnsi" w:cstheme="majorHAnsi"/>
          <w:bCs/>
          <w:color w:val="000000" w:themeColor="text1"/>
          <w:sz w:val="22"/>
          <w:szCs w:val="22"/>
        </w:rPr>
        <w:t>There were 13,733</w:t>
      </w:r>
      <w:r w:rsidR="00FB7BD6" w:rsidRPr="00062652">
        <w:rPr>
          <w:rFonts w:asciiTheme="majorHAnsi" w:eastAsia="Times New Roman" w:hAnsiTheme="majorHAnsi" w:cstheme="majorHAnsi"/>
          <w:bCs/>
          <w:color w:val="000000" w:themeColor="text1"/>
          <w:sz w:val="22"/>
          <w:szCs w:val="22"/>
        </w:rPr>
        <w:t xml:space="preserve"> students enrolled in Fall 201</w:t>
      </w:r>
      <w:r w:rsidRPr="00062652">
        <w:rPr>
          <w:rFonts w:asciiTheme="majorHAnsi" w:eastAsia="Times New Roman" w:hAnsiTheme="majorHAnsi" w:cstheme="majorHAnsi"/>
          <w:bCs/>
          <w:color w:val="000000" w:themeColor="text1"/>
          <w:sz w:val="22"/>
          <w:szCs w:val="22"/>
        </w:rPr>
        <w:t>8: 11,135</w:t>
      </w:r>
      <w:r w:rsidR="00FB7BD6" w:rsidRPr="00062652">
        <w:rPr>
          <w:rFonts w:asciiTheme="majorHAnsi" w:eastAsia="Times New Roman" w:hAnsiTheme="majorHAnsi" w:cstheme="majorHAnsi"/>
          <w:bCs/>
          <w:color w:val="000000" w:themeColor="text1"/>
          <w:sz w:val="22"/>
          <w:szCs w:val="22"/>
        </w:rPr>
        <w:t xml:space="preserve"> at t</w:t>
      </w:r>
      <w:r w:rsidRPr="00062652">
        <w:rPr>
          <w:rFonts w:asciiTheme="majorHAnsi" w:eastAsia="Times New Roman" w:hAnsiTheme="majorHAnsi" w:cstheme="majorHAnsi"/>
          <w:bCs/>
          <w:color w:val="000000" w:themeColor="text1"/>
          <w:sz w:val="22"/>
          <w:szCs w:val="22"/>
        </w:rPr>
        <w:t>he undergraduate level and 2,598</w:t>
      </w:r>
      <w:r w:rsidR="00FB7BD6" w:rsidRPr="00062652">
        <w:rPr>
          <w:rFonts w:asciiTheme="majorHAnsi" w:eastAsia="Times New Roman" w:hAnsiTheme="majorHAnsi" w:cstheme="majorHAnsi"/>
          <w:bCs/>
          <w:color w:val="000000" w:themeColor="text1"/>
          <w:sz w:val="22"/>
          <w:szCs w:val="22"/>
        </w:rPr>
        <w:t xml:space="preserve"> at the </w:t>
      </w:r>
      <w:r w:rsidR="00FB7BD6" w:rsidRPr="00062652">
        <w:rPr>
          <w:rFonts w:asciiTheme="majorHAnsi" w:eastAsia="Times New Roman" w:hAnsiTheme="majorHAnsi" w:cstheme="majorHAnsi"/>
          <w:bCs/>
          <w:color w:val="333333"/>
          <w:sz w:val="22"/>
          <w:szCs w:val="22"/>
        </w:rPr>
        <w:t>graduate level. Overal</w:t>
      </w:r>
      <w:r w:rsidR="00746120" w:rsidRPr="00062652">
        <w:rPr>
          <w:rFonts w:asciiTheme="majorHAnsi" w:eastAsia="Times New Roman" w:hAnsiTheme="majorHAnsi" w:cstheme="majorHAnsi"/>
          <w:bCs/>
          <w:color w:val="333333"/>
          <w:sz w:val="22"/>
          <w:szCs w:val="22"/>
        </w:rPr>
        <w:t>l enrollment at UWG has grown 18</w:t>
      </w:r>
      <w:r w:rsidR="00FB7BD6" w:rsidRPr="00062652">
        <w:rPr>
          <w:rFonts w:asciiTheme="majorHAnsi" w:eastAsia="Times New Roman" w:hAnsiTheme="majorHAnsi" w:cstheme="majorHAnsi"/>
          <w:bCs/>
          <w:color w:val="333333"/>
          <w:sz w:val="22"/>
          <w:szCs w:val="22"/>
        </w:rPr>
        <w:t xml:space="preserve">% since the Fall 2008 semester. UWG has a </w:t>
      </w:r>
      <w:r w:rsidRPr="00062652">
        <w:rPr>
          <w:rFonts w:asciiTheme="majorHAnsi" w:eastAsia="Times New Roman" w:hAnsiTheme="majorHAnsi" w:cstheme="majorHAnsi"/>
          <w:bCs/>
          <w:color w:val="333333"/>
          <w:sz w:val="22"/>
          <w:szCs w:val="22"/>
        </w:rPr>
        <w:t>diverse student population: 50.8% Caucasian, 35.4</w:t>
      </w:r>
      <w:r w:rsidR="00FB7BD6" w:rsidRPr="00062652">
        <w:rPr>
          <w:rFonts w:asciiTheme="majorHAnsi" w:eastAsia="Times New Roman" w:hAnsiTheme="majorHAnsi" w:cstheme="majorHAnsi"/>
          <w:bCs/>
          <w:color w:val="333333"/>
          <w:sz w:val="22"/>
          <w:szCs w:val="22"/>
        </w:rPr>
        <w:t>% Af</w:t>
      </w:r>
      <w:r w:rsidRPr="00062652">
        <w:rPr>
          <w:rFonts w:asciiTheme="majorHAnsi" w:eastAsia="Times New Roman" w:hAnsiTheme="majorHAnsi" w:cstheme="majorHAnsi"/>
          <w:bCs/>
          <w:color w:val="333333"/>
          <w:sz w:val="22"/>
          <w:szCs w:val="22"/>
        </w:rPr>
        <w:t>rican-American/Black American, 6</w:t>
      </w:r>
      <w:r w:rsidR="00FB7BD6" w:rsidRPr="00062652">
        <w:rPr>
          <w:rFonts w:asciiTheme="majorHAnsi" w:eastAsia="Times New Roman" w:hAnsiTheme="majorHAnsi" w:cstheme="majorHAnsi"/>
          <w:bCs/>
          <w:color w:val="333333"/>
          <w:sz w:val="22"/>
          <w:szCs w:val="22"/>
        </w:rPr>
        <w:t>.8% Hispanic,</w:t>
      </w:r>
      <w:r w:rsidRPr="00062652">
        <w:rPr>
          <w:rFonts w:asciiTheme="majorHAnsi" w:eastAsia="Times New Roman" w:hAnsiTheme="majorHAnsi" w:cstheme="majorHAnsi"/>
          <w:bCs/>
          <w:color w:val="333333"/>
          <w:sz w:val="22"/>
          <w:szCs w:val="22"/>
        </w:rPr>
        <w:t xml:space="preserve"> 3.3% two or more races, 1.5% Asian, 1.9</w:t>
      </w:r>
      <w:r w:rsidR="00FB7BD6" w:rsidRPr="00062652">
        <w:rPr>
          <w:rFonts w:asciiTheme="majorHAnsi" w:eastAsia="Times New Roman" w:hAnsiTheme="majorHAnsi" w:cstheme="majorHAnsi"/>
          <w:bCs/>
          <w:color w:val="333333"/>
          <w:sz w:val="22"/>
          <w:szCs w:val="22"/>
        </w:rPr>
        <w:t>% did not declare any race, 0.1% America</w:t>
      </w:r>
      <w:r w:rsidRPr="00062652">
        <w:rPr>
          <w:rFonts w:asciiTheme="majorHAnsi" w:eastAsia="Times New Roman" w:hAnsiTheme="majorHAnsi" w:cstheme="majorHAnsi"/>
          <w:bCs/>
          <w:color w:val="333333"/>
          <w:sz w:val="22"/>
          <w:szCs w:val="22"/>
        </w:rPr>
        <w:t>n Indian/Alaskan Native, and 0.2</w:t>
      </w:r>
      <w:r w:rsidR="00FB7BD6" w:rsidRPr="00062652">
        <w:rPr>
          <w:rFonts w:asciiTheme="majorHAnsi" w:eastAsia="Times New Roman" w:hAnsiTheme="majorHAnsi" w:cstheme="majorHAnsi"/>
          <w:bCs/>
          <w:color w:val="333333"/>
          <w:sz w:val="22"/>
          <w:szCs w:val="22"/>
        </w:rPr>
        <w:t xml:space="preserve">% Native Hawaiian/Pacific Islander. </w:t>
      </w:r>
      <w:r w:rsidR="00746120" w:rsidRPr="00062652">
        <w:rPr>
          <w:rFonts w:asciiTheme="majorHAnsi" w:eastAsia="Times New Roman" w:hAnsiTheme="majorHAnsi" w:cstheme="majorHAnsi"/>
          <w:bCs/>
          <w:color w:val="333333"/>
          <w:sz w:val="22"/>
          <w:szCs w:val="22"/>
        </w:rPr>
        <w:t xml:space="preserve"> The student body is 66.4% female and 33.6% male.</w:t>
      </w:r>
    </w:p>
    <w:p w:rsidR="00803F46" w:rsidRPr="00062652" w:rsidRDefault="00803F46" w:rsidP="0047123A">
      <w:pPr>
        <w:jc w:val="both"/>
        <w:outlineLvl w:val="3"/>
        <w:rPr>
          <w:rFonts w:asciiTheme="majorHAnsi" w:eastAsia="Times New Roman" w:hAnsiTheme="majorHAnsi" w:cstheme="majorHAnsi"/>
          <w:bCs/>
          <w:color w:val="333333"/>
          <w:sz w:val="22"/>
          <w:szCs w:val="22"/>
        </w:rPr>
      </w:pPr>
    </w:p>
    <w:p w:rsidR="00803F46" w:rsidRPr="00062652" w:rsidRDefault="00803F46" w:rsidP="0047123A">
      <w:pPr>
        <w:jc w:val="both"/>
        <w:outlineLvl w:val="3"/>
        <w:rPr>
          <w:rFonts w:asciiTheme="majorHAnsi" w:eastAsia="Times New Roman" w:hAnsiTheme="majorHAnsi" w:cstheme="majorHAnsi"/>
          <w:bCs/>
          <w:color w:val="333333"/>
          <w:sz w:val="22"/>
          <w:szCs w:val="22"/>
        </w:rPr>
      </w:pPr>
      <w:r w:rsidRPr="00062652">
        <w:rPr>
          <w:rFonts w:asciiTheme="majorHAnsi" w:eastAsia="Times New Roman" w:hAnsiTheme="majorHAnsi" w:cstheme="majorHAnsi"/>
          <w:bCs/>
          <w:color w:val="333333"/>
          <w:sz w:val="22"/>
          <w:szCs w:val="22"/>
        </w:rPr>
        <w:t>Ninety-</w:t>
      </w:r>
      <w:r w:rsidR="00CA6473" w:rsidRPr="00062652">
        <w:rPr>
          <w:rFonts w:asciiTheme="majorHAnsi" w:eastAsia="Times New Roman" w:hAnsiTheme="majorHAnsi" w:cstheme="majorHAnsi"/>
          <w:bCs/>
          <w:color w:val="333333"/>
          <w:sz w:val="22"/>
          <w:szCs w:val="22"/>
        </w:rPr>
        <w:t>one</w:t>
      </w:r>
      <w:r w:rsidRPr="00062652">
        <w:rPr>
          <w:rFonts w:asciiTheme="majorHAnsi" w:eastAsia="Times New Roman" w:hAnsiTheme="majorHAnsi" w:cstheme="majorHAnsi"/>
          <w:bCs/>
          <w:color w:val="333333"/>
          <w:sz w:val="22"/>
          <w:szCs w:val="22"/>
        </w:rPr>
        <w:t xml:space="preserve"> percent of the student body was from Georgia and represented 42 different counties. Carroll, Gwinnett, Coweta, Douglas, and Cobb were the five counties with the largest numbers of students at UWG. There were </w:t>
      </w:r>
      <w:r w:rsidR="00495DB2" w:rsidRPr="00062652">
        <w:rPr>
          <w:rFonts w:asciiTheme="majorHAnsi" w:eastAsia="Times New Roman" w:hAnsiTheme="majorHAnsi" w:cstheme="majorHAnsi"/>
          <w:bCs/>
          <w:color w:val="333333"/>
          <w:sz w:val="22"/>
          <w:szCs w:val="22"/>
        </w:rPr>
        <w:t>912</w:t>
      </w:r>
      <w:r w:rsidR="00CA6473" w:rsidRPr="00062652">
        <w:rPr>
          <w:rFonts w:asciiTheme="majorHAnsi" w:eastAsia="Times New Roman" w:hAnsiTheme="majorHAnsi" w:cstheme="majorHAnsi"/>
          <w:bCs/>
          <w:color w:val="333333"/>
          <w:sz w:val="22"/>
          <w:szCs w:val="22"/>
        </w:rPr>
        <w:t xml:space="preserve"> </w:t>
      </w:r>
      <w:r w:rsidRPr="00062652">
        <w:rPr>
          <w:rFonts w:asciiTheme="majorHAnsi" w:eastAsia="Times New Roman" w:hAnsiTheme="majorHAnsi" w:cstheme="majorHAnsi"/>
          <w:bCs/>
          <w:color w:val="333333"/>
          <w:sz w:val="22"/>
          <w:szCs w:val="22"/>
        </w:rPr>
        <w:t xml:space="preserve">out-of-state students representing </w:t>
      </w:r>
      <w:r w:rsidR="00495DB2" w:rsidRPr="00062652">
        <w:rPr>
          <w:rFonts w:asciiTheme="majorHAnsi" w:eastAsia="Times New Roman" w:hAnsiTheme="majorHAnsi" w:cstheme="majorHAnsi"/>
          <w:bCs/>
          <w:color w:val="333333"/>
          <w:sz w:val="22"/>
          <w:szCs w:val="22"/>
        </w:rPr>
        <w:t>3</w:t>
      </w:r>
      <w:r w:rsidR="0065096D" w:rsidRPr="00062652">
        <w:rPr>
          <w:rFonts w:asciiTheme="majorHAnsi" w:eastAsia="Times New Roman" w:hAnsiTheme="majorHAnsi" w:cstheme="majorHAnsi"/>
          <w:bCs/>
          <w:color w:val="333333"/>
          <w:sz w:val="22"/>
          <w:szCs w:val="22"/>
        </w:rPr>
        <w:t>8</w:t>
      </w:r>
      <w:r w:rsidRPr="00062652">
        <w:rPr>
          <w:rFonts w:asciiTheme="majorHAnsi" w:eastAsia="Times New Roman" w:hAnsiTheme="majorHAnsi" w:cstheme="majorHAnsi"/>
          <w:bCs/>
          <w:color w:val="333333"/>
          <w:sz w:val="22"/>
          <w:szCs w:val="22"/>
        </w:rPr>
        <w:t xml:space="preserve"> of the 49 remaining states. Alabama, Florida, </w:t>
      </w:r>
      <w:r w:rsidR="00495DB2" w:rsidRPr="00062652">
        <w:rPr>
          <w:rFonts w:asciiTheme="majorHAnsi" w:eastAsia="Times New Roman" w:hAnsiTheme="majorHAnsi" w:cstheme="majorHAnsi"/>
          <w:bCs/>
          <w:color w:val="333333"/>
          <w:sz w:val="22"/>
          <w:szCs w:val="22"/>
        </w:rPr>
        <w:t xml:space="preserve">California, </w:t>
      </w:r>
      <w:r w:rsidRPr="00062652">
        <w:rPr>
          <w:rFonts w:asciiTheme="majorHAnsi" w:eastAsia="Times New Roman" w:hAnsiTheme="majorHAnsi" w:cstheme="majorHAnsi"/>
          <w:bCs/>
          <w:color w:val="333333"/>
          <w:sz w:val="22"/>
          <w:szCs w:val="22"/>
        </w:rPr>
        <w:t>Tennessee</w:t>
      </w:r>
      <w:r w:rsidR="00495DB2" w:rsidRPr="00062652">
        <w:rPr>
          <w:rFonts w:asciiTheme="majorHAnsi" w:eastAsia="Times New Roman" w:hAnsiTheme="majorHAnsi" w:cstheme="majorHAnsi"/>
          <w:bCs/>
          <w:color w:val="333333"/>
          <w:sz w:val="22"/>
          <w:szCs w:val="22"/>
        </w:rPr>
        <w:t xml:space="preserve"> and South Carolina </w:t>
      </w:r>
      <w:r w:rsidRPr="00062652">
        <w:rPr>
          <w:rFonts w:asciiTheme="majorHAnsi" w:eastAsia="Times New Roman" w:hAnsiTheme="majorHAnsi" w:cstheme="majorHAnsi"/>
          <w:bCs/>
          <w:color w:val="333333"/>
          <w:sz w:val="22"/>
          <w:szCs w:val="22"/>
        </w:rPr>
        <w:t xml:space="preserve">were the top states sending students to UWG. Additionally, there were </w:t>
      </w:r>
      <w:r w:rsidR="00495DB2" w:rsidRPr="00062652">
        <w:rPr>
          <w:rFonts w:asciiTheme="majorHAnsi" w:eastAsia="Times New Roman" w:hAnsiTheme="majorHAnsi" w:cstheme="majorHAnsi"/>
          <w:bCs/>
          <w:color w:val="333333"/>
          <w:sz w:val="22"/>
          <w:szCs w:val="22"/>
        </w:rPr>
        <w:t>330</w:t>
      </w:r>
      <w:r w:rsidRPr="00062652">
        <w:rPr>
          <w:rFonts w:asciiTheme="majorHAnsi" w:eastAsia="Times New Roman" w:hAnsiTheme="majorHAnsi" w:cstheme="majorHAnsi"/>
          <w:bCs/>
          <w:color w:val="333333"/>
          <w:sz w:val="22"/>
          <w:szCs w:val="22"/>
        </w:rPr>
        <w:t xml:space="preserve"> students from </w:t>
      </w:r>
      <w:r w:rsidR="0049040F" w:rsidRPr="00062652">
        <w:rPr>
          <w:rFonts w:asciiTheme="majorHAnsi" w:eastAsia="Times New Roman" w:hAnsiTheme="majorHAnsi" w:cstheme="majorHAnsi"/>
          <w:bCs/>
          <w:color w:val="333333"/>
          <w:sz w:val="22"/>
          <w:szCs w:val="22"/>
        </w:rPr>
        <w:t>73</w:t>
      </w:r>
      <w:r w:rsidRPr="00062652">
        <w:rPr>
          <w:rFonts w:asciiTheme="majorHAnsi" w:eastAsia="Times New Roman" w:hAnsiTheme="majorHAnsi" w:cstheme="majorHAnsi"/>
          <w:bCs/>
          <w:color w:val="333333"/>
          <w:sz w:val="22"/>
          <w:szCs w:val="22"/>
        </w:rPr>
        <w:t xml:space="preserve"> countries.</w:t>
      </w:r>
      <w:r w:rsidR="00495DB2" w:rsidRPr="00062652">
        <w:rPr>
          <w:rFonts w:asciiTheme="majorHAnsi" w:eastAsia="Times New Roman" w:hAnsiTheme="majorHAnsi" w:cstheme="majorHAnsi"/>
          <w:bCs/>
          <w:color w:val="333333"/>
          <w:sz w:val="22"/>
          <w:szCs w:val="22"/>
        </w:rPr>
        <w:t xml:space="preserve"> </w:t>
      </w:r>
      <w:r w:rsidRPr="00062652">
        <w:rPr>
          <w:rFonts w:asciiTheme="majorHAnsi" w:eastAsia="Times New Roman" w:hAnsiTheme="majorHAnsi" w:cstheme="majorHAnsi"/>
          <w:bCs/>
          <w:color w:val="333333"/>
          <w:sz w:val="22"/>
          <w:szCs w:val="22"/>
        </w:rPr>
        <w:t>Niger</w:t>
      </w:r>
      <w:r w:rsidR="00495DB2" w:rsidRPr="00062652">
        <w:rPr>
          <w:rFonts w:asciiTheme="majorHAnsi" w:eastAsia="Times New Roman" w:hAnsiTheme="majorHAnsi" w:cstheme="majorHAnsi"/>
          <w:bCs/>
          <w:color w:val="333333"/>
          <w:sz w:val="22"/>
          <w:szCs w:val="22"/>
        </w:rPr>
        <w:t>ia, India, Jamaica, Ghana</w:t>
      </w:r>
      <w:r w:rsidRPr="00062652">
        <w:rPr>
          <w:rFonts w:asciiTheme="majorHAnsi" w:eastAsia="Times New Roman" w:hAnsiTheme="majorHAnsi" w:cstheme="majorHAnsi"/>
          <w:bCs/>
          <w:color w:val="333333"/>
          <w:sz w:val="22"/>
          <w:szCs w:val="22"/>
        </w:rPr>
        <w:t>,</w:t>
      </w:r>
      <w:r w:rsidR="00495DB2" w:rsidRPr="00062652">
        <w:rPr>
          <w:rFonts w:asciiTheme="majorHAnsi" w:eastAsia="Times New Roman" w:hAnsiTheme="majorHAnsi" w:cstheme="majorHAnsi"/>
          <w:bCs/>
          <w:color w:val="333333"/>
          <w:sz w:val="22"/>
          <w:szCs w:val="22"/>
        </w:rPr>
        <w:t xml:space="preserve"> Ni</w:t>
      </w:r>
      <w:r w:rsidR="0049040F" w:rsidRPr="00062652">
        <w:rPr>
          <w:rFonts w:asciiTheme="majorHAnsi" w:eastAsia="Times New Roman" w:hAnsiTheme="majorHAnsi" w:cstheme="majorHAnsi"/>
          <w:bCs/>
          <w:color w:val="333333"/>
          <w:sz w:val="22"/>
          <w:szCs w:val="22"/>
        </w:rPr>
        <w:t xml:space="preserve">ger, United Kingdom, Mexico and China </w:t>
      </w:r>
      <w:r w:rsidRPr="00062652">
        <w:rPr>
          <w:rFonts w:asciiTheme="majorHAnsi" w:eastAsia="Times New Roman" w:hAnsiTheme="majorHAnsi" w:cstheme="majorHAnsi"/>
          <w:bCs/>
          <w:color w:val="333333"/>
          <w:sz w:val="22"/>
          <w:szCs w:val="22"/>
        </w:rPr>
        <w:t xml:space="preserve">were the top countries sending students to UWG. </w:t>
      </w:r>
    </w:p>
    <w:p w:rsidR="00803F46" w:rsidRPr="00062652" w:rsidRDefault="00803F46" w:rsidP="0047123A">
      <w:pPr>
        <w:jc w:val="both"/>
        <w:outlineLvl w:val="3"/>
        <w:rPr>
          <w:rFonts w:asciiTheme="majorHAnsi" w:eastAsia="Times New Roman" w:hAnsiTheme="majorHAnsi" w:cstheme="majorHAnsi"/>
          <w:bCs/>
          <w:color w:val="333333"/>
          <w:sz w:val="22"/>
          <w:szCs w:val="22"/>
        </w:rPr>
      </w:pPr>
    </w:p>
    <w:p w:rsidR="00FF1494" w:rsidRPr="00062652" w:rsidRDefault="00411612" w:rsidP="000935FB">
      <w:pPr>
        <w:jc w:val="both"/>
        <w:outlineLvl w:val="3"/>
        <w:rPr>
          <w:rFonts w:asciiTheme="majorHAnsi" w:eastAsia="Times New Roman" w:hAnsiTheme="majorHAnsi" w:cstheme="majorHAnsi"/>
          <w:bCs/>
          <w:color w:val="333333"/>
          <w:sz w:val="22"/>
          <w:szCs w:val="22"/>
        </w:rPr>
      </w:pPr>
      <w:r w:rsidRPr="00062652">
        <w:rPr>
          <w:rFonts w:asciiTheme="majorHAnsi" w:eastAsia="Times New Roman" w:hAnsiTheme="majorHAnsi" w:cstheme="majorHAnsi"/>
          <w:bCs/>
          <w:color w:val="333333"/>
          <w:sz w:val="22"/>
          <w:szCs w:val="22"/>
        </w:rPr>
        <w:t xml:space="preserve">Despite </w:t>
      </w:r>
      <w:r w:rsidR="00641F4C" w:rsidRPr="00062652">
        <w:rPr>
          <w:rFonts w:asciiTheme="majorHAnsi" w:eastAsia="Times New Roman" w:hAnsiTheme="majorHAnsi" w:cstheme="majorHAnsi"/>
          <w:bCs/>
          <w:color w:val="333333"/>
          <w:sz w:val="22"/>
          <w:szCs w:val="22"/>
        </w:rPr>
        <w:t xml:space="preserve">experiencing both </w:t>
      </w:r>
      <w:r w:rsidRPr="00062652">
        <w:rPr>
          <w:rFonts w:asciiTheme="majorHAnsi" w:eastAsia="Times New Roman" w:hAnsiTheme="majorHAnsi" w:cstheme="majorHAnsi"/>
          <w:bCs/>
          <w:color w:val="333333"/>
          <w:sz w:val="22"/>
          <w:szCs w:val="22"/>
        </w:rPr>
        <w:t>increases and decreases in percentages of students eligible for the Pell grants over the last five years, the percentage</w:t>
      </w:r>
      <w:r w:rsidR="00803F46" w:rsidRPr="00062652">
        <w:rPr>
          <w:rFonts w:asciiTheme="majorHAnsi" w:eastAsia="Times New Roman" w:hAnsiTheme="majorHAnsi" w:cstheme="majorHAnsi"/>
          <w:bCs/>
          <w:color w:val="333333"/>
          <w:sz w:val="22"/>
          <w:szCs w:val="22"/>
        </w:rPr>
        <w:t xml:space="preserve"> of stude</w:t>
      </w:r>
      <w:r w:rsidRPr="00062652">
        <w:rPr>
          <w:rFonts w:asciiTheme="majorHAnsi" w:eastAsia="Times New Roman" w:hAnsiTheme="majorHAnsi" w:cstheme="majorHAnsi"/>
          <w:bCs/>
          <w:color w:val="333333"/>
          <w:sz w:val="22"/>
          <w:szCs w:val="22"/>
        </w:rPr>
        <w:t xml:space="preserve">nts eligible for the Pell grant in Fall 2018 (53.6%) is identical to the percentage of students eligible for the Pell grant in Fall 2014. </w:t>
      </w:r>
      <w:r w:rsidR="000935FB" w:rsidRPr="00062652">
        <w:rPr>
          <w:rFonts w:asciiTheme="majorHAnsi" w:eastAsia="Times New Roman" w:hAnsiTheme="majorHAnsi" w:cstheme="majorHAnsi"/>
          <w:bCs/>
          <w:color w:val="333333"/>
          <w:sz w:val="22"/>
          <w:szCs w:val="22"/>
        </w:rPr>
        <w:t xml:space="preserve"> </w:t>
      </w:r>
      <w:r w:rsidR="0049040F" w:rsidRPr="00062652">
        <w:rPr>
          <w:rFonts w:asciiTheme="majorHAnsi" w:eastAsia="Times New Roman" w:hAnsiTheme="majorHAnsi" w:cstheme="majorHAnsi"/>
          <w:bCs/>
          <w:color w:val="333333"/>
          <w:sz w:val="22"/>
          <w:szCs w:val="22"/>
        </w:rPr>
        <w:t xml:space="preserve">In Fall 2015, the number </w:t>
      </w:r>
      <w:r w:rsidR="00803F46" w:rsidRPr="00062652">
        <w:rPr>
          <w:rFonts w:asciiTheme="majorHAnsi" w:eastAsia="Times New Roman" w:hAnsiTheme="majorHAnsi" w:cstheme="majorHAnsi"/>
          <w:bCs/>
          <w:color w:val="333333"/>
          <w:sz w:val="22"/>
          <w:szCs w:val="22"/>
        </w:rPr>
        <w:t xml:space="preserve">of students who were Pell eligible </w:t>
      </w:r>
      <w:r w:rsidR="00FF1494" w:rsidRPr="00062652">
        <w:rPr>
          <w:rFonts w:asciiTheme="majorHAnsi" w:eastAsia="Times New Roman" w:hAnsiTheme="majorHAnsi" w:cstheme="majorHAnsi"/>
          <w:bCs/>
          <w:color w:val="333333"/>
          <w:sz w:val="22"/>
          <w:szCs w:val="22"/>
        </w:rPr>
        <w:t>was</w:t>
      </w:r>
      <w:r w:rsidR="00803F46" w:rsidRPr="00062652">
        <w:rPr>
          <w:rFonts w:asciiTheme="majorHAnsi" w:eastAsia="Times New Roman" w:hAnsiTheme="majorHAnsi" w:cstheme="majorHAnsi"/>
          <w:bCs/>
          <w:color w:val="333333"/>
          <w:sz w:val="22"/>
          <w:szCs w:val="22"/>
        </w:rPr>
        <w:t xml:space="preserve"> </w:t>
      </w:r>
      <w:r w:rsidR="0049040F" w:rsidRPr="00062652">
        <w:rPr>
          <w:rFonts w:asciiTheme="majorHAnsi" w:eastAsia="Times New Roman" w:hAnsiTheme="majorHAnsi" w:cstheme="majorHAnsi"/>
          <w:bCs/>
          <w:color w:val="333333"/>
          <w:sz w:val="22"/>
          <w:szCs w:val="22"/>
        </w:rPr>
        <w:t>5,626</w:t>
      </w:r>
      <w:r w:rsidR="000935FB" w:rsidRPr="00062652">
        <w:rPr>
          <w:rFonts w:asciiTheme="majorHAnsi" w:eastAsia="Times New Roman" w:hAnsiTheme="majorHAnsi" w:cstheme="majorHAnsi"/>
          <w:bCs/>
          <w:color w:val="333333"/>
          <w:sz w:val="22"/>
          <w:szCs w:val="22"/>
        </w:rPr>
        <w:t xml:space="preserve"> which was 51.9% of the students enrolled.</w:t>
      </w:r>
      <w:r w:rsidR="00803F46" w:rsidRPr="00062652">
        <w:rPr>
          <w:rFonts w:asciiTheme="majorHAnsi" w:eastAsia="Times New Roman" w:hAnsiTheme="majorHAnsi" w:cstheme="majorHAnsi"/>
          <w:bCs/>
          <w:color w:val="333333"/>
          <w:sz w:val="22"/>
          <w:szCs w:val="22"/>
        </w:rPr>
        <w:t xml:space="preserve"> </w:t>
      </w:r>
      <w:r w:rsidR="00FF1494" w:rsidRPr="00062652">
        <w:rPr>
          <w:rFonts w:asciiTheme="majorHAnsi" w:eastAsia="Times New Roman" w:hAnsiTheme="majorHAnsi" w:cstheme="majorHAnsi"/>
          <w:bCs/>
          <w:color w:val="333333"/>
          <w:sz w:val="22"/>
          <w:szCs w:val="22"/>
        </w:rPr>
        <w:t xml:space="preserve">The percentage of </w:t>
      </w:r>
      <w:r w:rsidR="0049040F" w:rsidRPr="00062652">
        <w:rPr>
          <w:rFonts w:asciiTheme="majorHAnsi" w:eastAsia="Times New Roman" w:hAnsiTheme="majorHAnsi" w:cstheme="majorHAnsi"/>
          <w:bCs/>
          <w:color w:val="333333"/>
          <w:sz w:val="22"/>
          <w:szCs w:val="22"/>
        </w:rPr>
        <w:t xml:space="preserve">Pell eligible students </w:t>
      </w:r>
      <w:r w:rsidR="000935FB" w:rsidRPr="00062652">
        <w:rPr>
          <w:rFonts w:asciiTheme="majorHAnsi" w:eastAsia="Times New Roman" w:hAnsiTheme="majorHAnsi" w:cstheme="majorHAnsi"/>
          <w:bCs/>
          <w:color w:val="333333"/>
          <w:sz w:val="22"/>
          <w:szCs w:val="22"/>
        </w:rPr>
        <w:t>decreased</w:t>
      </w:r>
      <w:r w:rsidR="00FF1494" w:rsidRPr="00062652">
        <w:rPr>
          <w:rFonts w:asciiTheme="majorHAnsi" w:eastAsia="Times New Roman" w:hAnsiTheme="majorHAnsi" w:cstheme="majorHAnsi"/>
          <w:bCs/>
          <w:color w:val="333333"/>
          <w:sz w:val="22"/>
          <w:szCs w:val="22"/>
        </w:rPr>
        <w:t xml:space="preserve"> slightly </w:t>
      </w:r>
      <w:r w:rsidR="000935FB" w:rsidRPr="00062652">
        <w:rPr>
          <w:rFonts w:asciiTheme="majorHAnsi" w:eastAsia="Times New Roman" w:hAnsiTheme="majorHAnsi" w:cstheme="majorHAnsi"/>
          <w:bCs/>
          <w:color w:val="333333"/>
          <w:sz w:val="22"/>
          <w:szCs w:val="22"/>
        </w:rPr>
        <w:t xml:space="preserve">again to 50.4% in Fall 2016. </w:t>
      </w:r>
      <w:r w:rsidR="00803F46" w:rsidRPr="00062652">
        <w:rPr>
          <w:rFonts w:asciiTheme="majorHAnsi" w:eastAsia="Times New Roman" w:hAnsiTheme="majorHAnsi" w:cstheme="majorHAnsi"/>
          <w:bCs/>
          <w:color w:val="333333"/>
          <w:sz w:val="22"/>
          <w:szCs w:val="22"/>
        </w:rPr>
        <w:t>The Pell eligible student percentage further decreased to 50.4% in Fall 2016.</w:t>
      </w:r>
      <w:r w:rsidR="002F7B49" w:rsidRPr="00062652">
        <w:rPr>
          <w:rFonts w:asciiTheme="majorHAnsi" w:eastAsia="Times New Roman" w:hAnsiTheme="majorHAnsi" w:cstheme="majorHAnsi"/>
          <w:bCs/>
          <w:color w:val="333333"/>
          <w:sz w:val="22"/>
          <w:szCs w:val="22"/>
        </w:rPr>
        <w:t xml:space="preserve"> </w:t>
      </w:r>
      <w:r w:rsidRPr="00062652">
        <w:rPr>
          <w:rFonts w:asciiTheme="majorHAnsi" w:eastAsia="Times New Roman" w:hAnsiTheme="majorHAnsi" w:cstheme="majorHAnsi"/>
          <w:bCs/>
          <w:color w:val="333333"/>
          <w:sz w:val="22"/>
          <w:szCs w:val="22"/>
        </w:rPr>
        <w:t xml:space="preserve"> Yet, i</w:t>
      </w:r>
      <w:r w:rsidR="00FF1494" w:rsidRPr="00062652">
        <w:rPr>
          <w:rFonts w:asciiTheme="majorHAnsi" w:eastAsia="Times New Roman" w:hAnsiTheme="majorHAnsi" w:cstheme="majorHAnsi"/>
          <w:bCs/>
          <w:color w:val="333333"/>
          <w:sz w:val="22"/>
          <w:szCs w:val="22"/>
        </w:rPr>
        <w:t>n Fall 2017, the percent</w:t>
      </w:r>
      <w:r w:rsidRPr="00062652">
        <w:rPr>
          <w:rFonts w:asciiTheme="majorHAnsi" w:eastAsia="Times New Roman" w:hAnsiTheme="majorHAnsi" w:cstheme="majorHAnsi"/>
          <w:bCs/>
          <w:color w:val="333333"/>
          <w:sz w:val="22"/>
          <w:szCs w:val="22"/>
        </w:rPr>
        <w:t xml:space="preserve">age increased slightly to 51.6% and in the Fall of 2018 the percentage increased again to 53.6%. </w:t>
      </w:r>
    </w:p>
    <w:p w:rsidR="00FF1494" w:rsidRPr="00062652" w:rsidRDefault="00FF1494" w:rsidP="0047123A">
      <w:pPr>
        <w:jc w:val="both"/>
        <w:outlineLvl w:val="3"/>
        <w:rPr>
          <w:rFonts w:asciiTheme="majorHAnsi" w:eastAsia="Times New Roman" w:hAnsiTheme="majorHAnsi" w:cstheme="majorHAnsi"/>
          <w:bCs/>
          <w:color w:val="333333"/>
          <w:sz w:val="22"/>
          <w:szCs w:val="22"/>
        </w:rPr>
      </w:pPr>
    </w:p>
    <w:p w:rsidR="00803F46" w:rsidRPr="00062652" w:rsidRDefault="00803F46" w:rsidP="0047123A">
      <w:pPr>
        <w:jc w:val="both"/>
        <w:outlineLvl w:val="3"/>
        <w:rPr>
          <w:rFonts w:asciiTheme="majorHAnsi" w:eastAsia="Times New Roman" w:hAnsiTheme="majorHAnsi" w:cstheme="majorHAnsi"/>
          <w:bCs/>
          <w:color w:val="333333"/>
          <w:sz w:val="22"/>
          <w:szCs w:val="22"/>
        </w:rPr>
      </w:pPr>
      <w:r w:rsidRPr="00062652">
        <w:rPr>
          <w:rFonts w:asciiTheme="majorHAnsi" w:eastAsia="Times New Roman" w:hAnsiTheme="majorHAnsi" w:cstheme="majorHAnsi"/>
          <w:bCs/>
          <w:color w:val="333333"/>
          <w:sz w:val="22"/>
          <w:szCs w:val="22"/>
        </w:rPr>
        <w:t xml:space="preserve">The University of West Georgia has long been committed to providing access to college for students in the western region of the state, as well as students from across the state of Georgia and the nation. Our </w:t>
      </w:r>
      <w:r w:rsidR="001024FF" w:rsidRPr="00062652">
        <w:rPr>
          <w:rFonts w:asciiTheme="majorHAnsi" w:eastAsia="Times New Roman" w:hAnsiTheme="majorHAnsi" w:cstheme="majorHAnsi"/>
          <w:bCs/>
          <w:color w:val="333333"/>
          <w:sz w:val="22"/>
          <w:szCs w:val="22"/>
        </w:rPr>
        <w:t>M</w:t>
      </w:r>
      <w:r w:rsidRPr="00062652">
        <w:rPr>
          <w:rFonts w:asciiTheme="majorHAnsi" w:eastAsia="Times New Roman" w:hAnsiTheme="majorHAnsi" w:cstheme="majorHAnsi"/>
          <w:bCs/>
          <w:color w:val="333333"/>
          <w:sz w:val="22"/>
          <w:szCs w:val="22"/>
        </w:rPr>
        <w:t>ission and our Strategic Plan both point to our commitment to student success. In particular, th</w:t>
      </w:r>
      <w:r w:rsidR="005028E2" w:rsidRPr="00062652">
        <w:rPr>
          <w:rFonts w:asciiTheme="majorHAnsi" w:eastAsia="Times New Roman" w:hAnsiTheme="majorHAnsi" w:cstheme="majorHAnsi"/>
          <w:bCs/>
          <w:color w:val="333333"/>
          <w:sz w:val="22"/>
          <w:szCs w:val="22"/>
        </w:rPr>
        <w:t xml:space="preserve">e first Strategic Imperative – Student </w:t>
      </w:r>
      <w:r w:rsidRPr="00062652">
        <w:rPr>
          <w:rFonts w:asciiTheme="majorHAnsi" w:eastAsia="Times New Roman" w:hAnsiTheme="majorHAnsi" w:cstheme="majorHAnsi"/>
          <w:bCs/>
          <w:color w:val="333333"/>
          <w:sz w:val="22"/>
          <w:szCs w:val="22"/>
        </w:rPr>
        <w:t>Success: Enhanced Learning, Access, Progression, and Development</w:t>
      </w:r>
      <w:r w:rsidR="005028E2" w:rsidRPr="00062652">
        <w:rPr>
          <w:rFonts w:asciiTheme="majorHAnsi" w:eastAsia="Times New Roman" w:hAnsiTheme="majorHAnsi" w:cstheme="majorHAnsi"/>
          <w:bCs/>
          <w:color w:val="333333"/>
          <w:sz w:val="22"/>
          <w:szCs w:val="22"/>
        </w:rPr>
        <w:t xml:space="preserve"> – </w:t>
      </w:r>
      <w:r w:rsidR="005028E2" w:rsidRPr="00062652">
        <w:rPr>
          <w:rFonts w:asciiTheme="majorHAnsi" w:eastAsia="Times New Roman" w:hAnsiTheme="majorHAnsi" w:cstheme="majorHAnsi"/>
          <w:bCs/>
          <w:color w:val="333333"/>
          <w:sz w:val="22"/>
          <w:szCs w:val="22"/>
        </w:rPr>
        <w:lastRenderedPageBreak/>
        <w:t xml:space="preserve">focuses </w:t>
      </w:r>
      <w:r w:rsidRPr="00062652">
        <w:rPr>
          <w:rFonts w:asciiTheme="majorHAnsi" w:eastAsia="Times New Roman" w:hAnsiTheme="majorHAnsi" w:cstheme="majorHAnsi"/>
          <w:bCs/>
          <w:color w:val="333333"/>
          <w:sz w:val="22"/>
          <w:szCs w:val="22"/>
        </w:rPr>
        <w:t xml:space="preserve">on the importance of </w:t>
      </w:r>
      <w:r w:rsidR="001024FF" w:rsidRPr="00062652">
        <w:rPr>
          <w:rFonts w:asciiTheme="majorHAnsi" w:eastAsia="Times New Roman" w:hAnsiTheme="majorHAnsi" w:cstheme="majorHAnsi"/>
          <w:bCs/>
          <w:color w:val="333333"/>
          <w:sz w:val="22"/>
          <w:szCs w:val="22"/>
        </w:rPr>
        <w:t>retent</w:t>
      </w:r>
      <w:r w:rsidR="00517850" w:rsidRPr="00062652">
        <w:rPr>
          <w:rFonts w:asciiTheme="majorHAnsi" w:eastAsia="Times New Roman" w:hAnsiTheme="majorHAnsi" w:cstheme="majorHAnsi"/>
          <w:bCs/>
          <w:color w:val="333333"/>
          <w:sz w:val="22"/>
          <w:szCs w:val="22"/>
        </w:rPr>
        <w:t>ion, progression, and graduatio</w:t>
      </w:r>
      <w:r w:rsidR="001024FF" w:rsidRPr="00062652">
        <w:rPr>
          <w:rFonts w:asciiTheme="majorHAnsi" w:eastAsia="Times New Roman" w:hAnsiTheme="majorHAnsi" w:cstheme="majorHAnsi"/>
          <w:bCs/>
          <w:color w:val="333333"/>
          <w:sz w:val="22"/>
          <w:szCs w:val="22"/>
        </w:rPr>
        <w:t>n (</w:t>
      </w:r>
      <w:r w:rsidRPr="00062652">
        <w:rPr>
          <w:rFonts w:asciiTheme="majorHAnsi" w:eastAsia="Times New Roman" w:hAnsiTheme="majorHAnsi" w:cstheme="majorHAnsi"/>
          <w:bCs/>
          <w:color w:val="333333"/>
          <w:sz w:val="22"/>
          <w:szCs w:val="22"/>
        </w:rPr>
        <w:t>RPG</w:t>
      </w:r>
      <w:r w:rsidR="001024FF" w:rsidRPr="00062652">
        <w:rPr>
          <w:rFonts w:asciiTheme="majorHAnsi" w:eastAsia="Times New Roman" w:hAnsiTheme="majorHAnsi" w:cstheme="majorHAnsi"/>
          <w:bCs/>
          <w:color w:val="333333"/>
          <w:sz w:val="22"/>
          <w:szCs w:val="22"/>
        </w:rPr>
        <w:t>); access;</w:t>
      </w:r>
      <w:r w:rsidRPr="00062652">
        <w:rPr>
          <w:rFonts w:asciiTheme="majorHAnsi" w:eastAsia="Times New Roman" w:hAnsiTheme="majorHAnsi" w:cstheme="majorHAnsi"/>
          <w:bCs/>
          <w:color w:val="333333"/>
          <w:sz w:val="22"/>
          <w:szCs w:val="22"/>
        </w:rPr>
        <w:t xml:space="preserve"> and student engagement.  The second imperative focuses on Academic Success:  Academic Programming and Faculty Support.  The commitment to our Strategic Plan has helped the university identify and implement </w:t>
      </w:r>
      <w:r w:rsidR="00FF1494" w:rsidRPr="00062652">
        <w:rPr>
          <w:rFonts w:asciiTheme="majorHAnsi" w:eastAsia="Times New Roman" w:hAnsiTheme="majorHAnsi" w:cstheme="majorHAnsi"/>
          <w:bCs/>
          <w:color w:val="333333"/>
          <w:sz w:val="22"/>
          <w:szCs w:val="22"/>
        </w:rPr>
        <w:t>three</w:t>
      </w:r>
      <w:r w:rsidRPr="00062652">
        <w:rPr>
          <w:rFonts w:asciiTheme="majorHAnsi" w:eastAsia="Times New Roman" w:hAnsiTheme="majorHAnsi" w:cstheme="majorHAnsi"/>
          <w:bCs/>
          <w:color w:val="333333"/>
          <w:sz w:val="22"/>
          <w:szCs w:val="22"/>
        </w:rPr>
        <w:t xml:space="preserve"> high impact strategies to help our students successfully obtain a degree. These high impact strategies are discussed in Section 2 of this report.</w:t>
      </w:r>
    </w:p>
    <w:p w:rsidR="00AD701A" w:rsidRPr="00062652" w:rsidRDefault="00AD701A" w:rsidP="0047123A">
      <w:pPr>
        <w:jc w:val="both"/>
        <w:outlineLvl w:val="3"/>
        <w:rPr>
          <w:rFonts w:asciiTheme="majorHAnsi" w:eastAsia="Times New Roman" w:hAnsiTheme="majorHAnsi" w:cstheme="majorHAnsi"/>
          <w:bCs/>
          <w:color w:val="333333"/>
          <w:sz w:val="22"/>
          <w:szCs w:val="22"/>
        </w:rPr>
      </w:pPr>
    </w:p>
    <w:p w:rsidR="00AD701A" w:rsidRPr="00062652" w:rsidRDefault="00AD701A" w:rsidP="0047123A">
      <w:pPr>
        <w:jc w:val="both"/>
        <w:outlineLvl w:val="3"/>
        <w:rPr>
          <w:rFonts w:asciiTheme="majorHAnsi" w:eastAsia="Times New Roman" w:hAnsiTheme="majorHAnsi" w:cstheme="majorHAnsi"/>
          <w:bCs/>
          <w:color w:val="333333"/>
          <w:sz w:val="22"/>
          <w:szCs w:val="22"/>
        </w:rPr>
      </w:pPr>
      <w:r w:rsidRPr="00062652">
        <w:rPr>
          <w:rFonts w:asciiTheme="majorHAnsi" w:eastAsia="Times New Roman" w:hAnsiTheme="majorHAnsi" w:cstheme="majorHAnsi"/>
          <w:bCs/>
          <w:color w:val="333333"/>
          <w:sz w:val="22"/>
          <w:szCs w:val="22"/>
        </w:rPr>
        <w:t xml:space="preserve">Tables 1 through 4 </w:t>
      </w:r>
      <w:r w:rsidR="00FB3173" w:rsidRPr="00062652">
        <w:rPr>
          <w:rFonts w:asciiTheme="majorHAnsi" w:eastAsia="Times New Roman" w:hAnsiTheme="majorHAnsi" w:cstheme="majorHAnsi"/>
          <w:bCs/>
          <w:color w:val="333333"/>
          <w:sz w:val="22"/>
          <w:szCs w:val="22"/>
        </w:rPr>
        <w:t xml:space="preserve">provide supporting data for the strategies discussed in Section 2 and </w:t>
      </w:r>
      <w:r w:rsidRPr="00062652">
        <w:rPr>
          <w:rFonts w:asciiTheme="majorHAnsi" w:eastAsia="Times New Roman" w:hAnsiTheme="majorHAnsi" w:cstheme="majorHAnsi"/>
          <w:bCs/>
          <w:color w:val="333333"/>
          <w:sz w:val="22"/>
          <w:szCs w:val="22"/>
        </w:rPr>
        <w:t>are found in the Appendix at the end of this document</w:t>
      </w:r>
      <w:r w:rsidR="001024FF" w:rsidRPr="00062652">
        <w:rPr>
          <w:rFonts w:asciiTheme="majorHAnsi" w:eastAsia="Times New Roman" w:hAnsiTheme="majorHAnsi" w:cstheme="majorHAnsi"/>
          <w:bCs/>
          <w:color w:val="333333"/>
          <w:sz w:val="22"/>
          <w:szCs w:val="22"/>
        </w:rPr>
        <w:t>.</w:t>
      </w:r>
    </w:p>
    <w:p w:rsidR="009721B6" w:rsidRPr="00062652" w:rsidRDefault="009721B6" w:rsidP="00803F46">
      <w:pPr>
        <w:outlineLvl w:val="3"/>
        <w:rPr>
          <w:rFonts w:asciiTheme="majorHAnsi" w:eastAsia="Times New Roman" w:hAnsiTheme="majorHAnsi" w:cstheme="majorHAnsi"/>
          <w:bCs/>
          <w:color w:val="333333"/>
          <w:sz w:val="22"/>
          <w:szCs w:val="22"/>
        </w:rPr>
      </w:pPr>
    </w:p>
    <w:p w:rsidR="00F43B14" w:rsidRPr="00062652" w:rsidRDefault="00435A9B" w:rsidP="00B10D58">
      <w:pPr>
        <w:jc w:val="center"/>
        <w:outlineLvl w:val="3"/>
        <w:rPr>
          <w:rFonts w:asciiTheme="majorHAnsi" w:eastAsia="Times New Roman" w:hAnsiTheme="majorHAnsi" w:cstheme="majorHAnsi"/>
          <w:b/>
          <w:bCs/>
          <w:color w:val="000000" w:themeColor="text1"/>
          <w:sz w:val="22"/>
          <w:szCs w:val="22"/>
        </w:rPr>
      </w:pPr>
      <w:r w:rsidRPr="00062652">
        <w:rPr>
          <w:rFonts w:asciiTheme="majorHAnsi" w:eastAsia="Times New Roman" w:hAnsiTheme="majorHAnsi" w:cstheme="majorHAnsi"/>
          <w:b/>
          <w:bCs/>
          <w:color w:val="000000" w:themeColor="text1"/>
          <w:sz w:val="22"/>
          <w:szCs w:val="22"/>
        </w:rPr>
        <w:t>SECTION</w:t>
      </w:r>
      <w:r w:rsidR="00B469BD" w:rsidRPr="00062652">
        <w:rPr>
          <w:rFonts w:asciiTheme="majorHAnsi" w:eastAsia="Times New Roman" w:hAnsiTheme="majorHAnsi" w:cstheme="majorHAnsi"/>
          <w:b/>
          <w:bCs/>
          <w:color w:val="000000" w:themeColor="text1"/>
          <w:sz w:val="22"/>
          <w:szCs w:val="22"/>
        </w:rPr>
        <w:t xml:space="preserve"> 2. INSTITUTIONAL COMPLETION GOALS, HIGH-IMPACT STRATEGIES</w:t>
      </w:r>
      <w:r w:rsidRPr="00062652">
        <w:rPr>
          <w:rFonts w:asciiTheme="majorHAnsi" w:eastAsia="Times New Roman" w:hAnsiTheme="majorHAnsi" w:cstheme="majorHAnsi"/>
          <w:b/>
          <w:bCs/>
          <w:color w:val="000000" w:themeColor="text1"/>
          <w:sz w:val="22"/>
          <w:szCs w:val="22"/>
        </w:rPr>
        <w:t>,</w:t>
      </w:r>
      <w:r w:rsidR="00FB3173" w:rsidRPr="00062652">
        <w:rPr>
          <w:rFonts w:asciiTheme="majorHAnsi" w:eastAsia="Times New Roman" w:hAnsiTheme="majorHAnsi" w:cstheme="majorHAnsi"/>
          <w:b/>
          <w:bCs/>
          <w:color w:val="000000" w:themeColor="text1"/>
          <w:sz w:val="22"/>
          <w:szCs w:val="22"/>
        </w:rPr>
        <w:t xml:space="preserve"> AND</w:t>
      </w:r>
      <w:r w:rsidR="00B469BD" w:rsidRPr="00062652">
        <w:rPr>
          <w:rFonts w:asciiTheme="majorHAnsi" w:eastAsia="Times New Roman" w:hAnsiTheme="majorHAnsi" w:cstheme="majorHAnsi"/>
          <w:b/>
          <w:bCs/>
          <w:color w:val="000000" w:themeColor="text1"/>
          <w:sz w:val="22"/>
          <w:szCs w:val="22"/>
        </w:rPr>
        <w:t xml:space="preserve"> ACTIVITIES</w:t>
      </w:r>
    </w:p>
    <w:p w:rsidR="00F36AE0" w:rsidRPr="00062652" w:rsidRDefault="00F36AE0" w:rsidP="003D5D99">
      <w:pPr>
        <w:outlineLvl w:val="3"/>
        <w:rPr>
          <w:rFonts w:asciiTheme="majorHAnsi" w:eastAsia="Times New Roman" w:hAnsiTheme="majorHAnsi" w:cstheme="majorHAnsi"/>
          <w:b/>
          <w:bCs/>
          <w:color w:val="000000" w:themeColor="text1"/>
          <w:sz w:val="22"/>
          <w:szCs w:val="22"/>
        </w:rPr>
      </w:pPr>
    </w:p>
    <w:tbl>
      <w:tblPr>
        <w:tblStyle w:val="TableGrid"/>
        <w:tblW w:w="0" w:type="auto"/>
        <w:tblLook w:val="04A0" w:firstRow="1" w:lastRow="0" w:firstColumn="1" w:lastColumn="0" w:noHBand="0" w:noVBand="1"/>
      </w:tblPr>
      <w:tblGrid>
        <w:gridCol w:w="2245"/>
        <w:gridCol w:w="7105"/>
      </w:tblGrid>
      <w:tr w:rsidR="00C55F12" w:rsidRPr="00062652" w:rsidTr="00EC2896">
        <w:tc>
          <w:tcPr>
            <w:tcW w:w="2245" w:type="dxa"/>
          </w:tcPr>
          <w:p w:rsidR="00C55F12" w:rsidRPr="00062652" w:rsidRDefault="00926FC8"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C00000"/>
                <w:sz w:val="22"/>
                <w:szCs w:val="22"/>
              </w:rPr>
              <w:t>High-Impact S</w:t>
            </w:r>
            <w:r w:rsidR="00B35E5D" w:rsidRPr="00062652">
              <w:rPr>
                <w:rFonts w:asciiTheme="majorHAnsi" w:hAnsiTheme="majorHAnsi" w:cstheme="majorHAnsi"/>
                <w:b/>
                <w:bCs/>
                <w:color w:val="C00000"/>
                <w:sz w:val="22"/>
                <w:szCs w:val="22"/>
              </w:rPr>
              <w:t>trategy 1</w:t>
            </w:r>
          </w:p>
        </w:tc>
        <w:tc>
          <w:tcPr>
            <w:tcW w:w="7105" w:type="dxa"/>
          </w:tcPr>
          <w:p w:rsidR="00C55F12" w:rsidRPr="00062652" w:rsidRDefault="0059017E" w:rsidP="0059017E">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color w:val="C00000"/>
                <w:sz w:val="22"/>
                <w:szCs w:val="22"/>
              </w:rPr>
              <w:t xml:space="preserve">THREE TO SUCCEED. </w:t>
            </w:r>
            <w:r w:rsidR="00C55F12" w:rsidRPr="00062652">
              <w:rPr>
                <w:rFonts w:asciiTheme="majorHAnsi" w:hAnsiTheme="majorHAnsi" w:cstheme="majorHAnsi"/>
                <w:color w:val="C00000"/>
                <w:sz w:val="22"/>
                <w:szCs w:val="22"/>
              </w:rPr>
              <w:t xml:space="preserve">Increase student use of services offered by the Center for Academic Success: Tutoring, </w:t>
            </w:r>
            <w:r w:rsidRPr="00062652">
              <w:rPr>
                <w:rFonts w:asciiTheme="majorHAnsi" w:hAnsiTheme="majorHAnsi" w:cstheme="majorHAnsi"/>
                <w:color w:val="C00000"/>
                <w:sz w:val="22"/>
                <w:szCs w:val="22"/>
              </w:rPr>
              <w:t xml:space="preserve">Peer Academic Coaching, and </w:t>
            </w:r>
            <w:r w:rsidR="00C55F12" w:rsidRPr="00062652">
              <w:rPr>
                <w:rFonts w:asciiTheme="majorHAnsi" w:hAnsiTheme="majorHAnsi" w:cstheme="majorHAnsi"/>
                <w:color w:val="C00000"/>
                <w:sz w:val="22"/>
                <w:szCs w:val="22"/>
              </w:rPr>
              <w:t>Supplemental Instruction</w:t>
            </w:r>
            <w:r w:rsidRPr="00062652">
              <w:rPr>
                <w:rFonts w:asciiTheme="majorHAnsi" w:hAnsiTheme="majorHAnsi" w:cstheme="majorHAnsi"/>
                <w:color w:val="C00000"/>
                <w:sz w:val="22"/>
                <w:szCs w:val="22"/>
              </w:rPr>
              <w:t>.</w:t>
            </w:r>
          </w:p>
        </w:tc>
      </w:tr>
      <w:tr w:rsidR="00C55F12" w:rsidRPr="00062652" w:rsidTr="00EC2896">
        <w:tc>
          <w:tcPr>
            <w:tcW w:w="2245" w:type="dxa"/>
          </w:tcPr>
          <w:p w:rsidR="00C55F12" w:rsidRPr="00062652" w:rsidRDefault="00C55F12"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Related Goal</w:t>
            </w:r>
          </w:p>
        </w:tc>
        <w:tc>
          <w:tcPr>
            <w:tcW w:w="7105" w:type="dxa"/>
          </w:tcPr>
          <w:p w:rsidR="00C55F12" w:rsidRPr="00062652" w:rsidRDefault="00C55F12" w:rsidP="002F7B49">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CCG GOAL 2. Increase the number of degrees that are earned on time.</w:t>
            </w:r>
          </w:p>
          <w:p w:rsidR="00C55F12" w:rsidRPr="00062652" w:rsidRDefault="00C55F12"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iCs/>
                <w:color w:val="000000" w:themeColor="text1"/>
                <w:sz w:val="22"/>
                <w:szCs w:val="22"/>
              </w:rPr>
              <w:t xml:space="preserve">CCG GOAL 3. Decrease excess credits earned on the path to getting a degree. </w:t>
            </w:r>
          </w:p>
        </w:tc>
      </w:tr>
      <w:tr w:rsidR="00C55F12" w:rsidRPr="00062652" w:rsidTr="00EC2896">
        <w:tc>
          <w:tcPr>
            <w:tcW w:w="2245" w:type="dxa"/>
          </w:tcPr>
          <w:p w:rsidR="00C55F12" w:rsidRPr="00062652" w:rsidRDefault="00C55F12"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Demonstration of Priority and/or Impact</w:t>
            </w:r>
          </w:p>
        </w:tc>
        <w:tc>
          <w:tcPr>
            <w:tcW w:w="7105" w:type="dxa"/>
          </w:tcPr>
          <w:p w:rsidR="00C55F12" w:rsidRPr="00062652" w:rsidRDefault="00C55F12" w:rsidP="002F7B49">
            <w:pPr>
              <w:rPr>
                <w:rFonts w:asciiTheme="majorHAnsi" w:hAnsiTheme="majorHAnsi" w:cstheme="majorHAnsi"/>
                <w:iCs/>
                <w:sz w:val="22"/>
                <w:szCs w:val="22"/>
              </w:rPr>
            </w:pPr>
            <w:r w:rsidRPr="00062652">
              <w:rPr>
                <w:rFonts w:asciiTheme="majorHAnsi" w:hAnsiTheme="majorHAnsi" w:cstheme="majorHAnsi"/>
                <w:iCs/>
                <w:sz w:val="22"/>
                <w:szCs w:val="22"/>
              </w:rPr>
              <w:t>This high impact strategy is aligned with two of UWG’s Student Success strategic imperative goals:</w:t>
            </w:r>
          </w:p>
          <w:p w:rsidR="00C55F12" w:rsidRPr="00062652" w:rsidRDefault="00C55F12" w:rsidP="00766533">
            <w:pPr>
              <w:pStyle w:val="ListParagraph"/>
              <w:numPr>
                <w:ilvl w:val="0"/>
                <w:numId w:val="24"/>
              </w:numPr>
              <w:rPr>
                <w:rFonts w:asciiTheme="majorHAnsi" w:hAnsiTheme="majorHAnsi" w:cstheme="majorHAnsi"/>
                <w:iCs/>
                <w:sz w:val="22"/>
                <w:szCs w:val="22"/>
              </w:rPr>
            </w:pPr>
            <w:r w:rsidRPr="00062652">
              <w:rPr>
                <w:rFonts w:asciiTheme="majorHAnsi" w:hAnsiTheme="majorHAnsi" w:cstheme="majorHAnsi"/>
                <w:iCs/>
                <w:sz w:val="22"/>
                <w:szCs w:val="22"/>
                <w:u w:val="single"/>
              </w:rPr>
              <w:t>Goal A</w:t>
            </w:r>
            <w:r w:rsidRPr="00062652">
              <w:rPr>
                <w:rFonts w:asciiTheme="majorHAnsi" w:hAnsiTheme="majorHAnsi" w:cstheme="majorHAnsi"/>
                <w:iCs/>
                <w:sz w:val="22"/>
                <w:szCs w:val="22"/>
              </w:rPr>
              <w:t>.  Increase student persistence and timely progression to degree attainment.</w:t>
            </w:r>
            <w:r w:rsidR="00FB3173" w:rsidRPr="00062652">
              <w:rPr>
                <w:rFonts w:asciiTheme="majorHAnsi" w:hAnsiTheme="majorHAnsi" w:cstheme="majorHAnsi"/>
                <w:iCs/>
                <w:sz w:val="22"/>
                <w:szCs w:val="22"/>
              </w:rPr>
              <w:t xml:space="preserve"> See Tables 1, 2, 3, and 4 in the Appendix.</w:t>
            </w:r>
          </w:p>
          <w:p w:rsidR="00C55F12" w:rsidRPr="00062652" w:rsidRDefault="00C55F12" w:rsidP="00766533">
            <w:pPr>
              <w:pStyle w:val="ListParagraph"/>
              <w:numPr>
                <w:ilvl w:val="0"/>
                <w:numId w:val="24"/>
              </w:num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iCs/>
                <w:sz w:val="22"/>
                <w:szCs w:val="22"/>
                <w:u w:val="single"/>
              </w:rPr>
              <w:t>Goal A, Action 2</w:t>
            </w:r>
            <w:r w:rsidRPr="00062652">
              <w:rPr>
                <w:rFonts w:asciiTheme="majorHAnsi" w:hAnsiTheme="majorHAnsi" w:cstheme="majorHAnsi"/>
                <w:iCs/>
                <w:sz w:val="22"/>
                <w:szCs w:val="22"/>
              </w:rPr>
              <w:t xml:space="preserve">:  </w:t>
            </w:r>
            <w:r w:rsidRPr="00062652">
              <w:rPr>
                <w:rFonts w:asciiTheme="majorHAnsi" w:hAnsiTheme="majorHAnsi" w:cstheme="majorHAnsi"/>
                <w:iCs/>
                <w:color w:val="333333"/>
                <w:sz w:val="22"/>
                <w:szCs w:val="22"/>
              </w:rPr>
              <w:t>Increase student academic performance through focused classroom strategies, support programs, and enhancements to policies and procedures.</w:t>
            </w:r>
          </w:p>
        </w:tc>
      </w:tr>
      <w:tr w:rsidR="00C55F12" w:rsidRPr="00062652" w:rsidTr="00EC2896">
        <w:tc>
          <w:tcPr>
            <w:tcW w:w="2245" w:type="dxa"/>
          </w:tcPr>
          <w:p w:rsidR="00C55F12" w:rsidRPr="00062652" w:rsidRDefault="00C55F12"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Primary Point of Contact</w:t>
            </w:r>
          </w:p>
        </w:tc>
        <w:tc>
          <w:tcPr>
            <w:tcW w:w="7105" w:type="dxa"/>
          </w:tcPr>
          <w:p w:rsidR="00C55F12" w:rsidRPr="00062652" w:rsidRDefault="00B71FCA" w:rsidP="002F7B49">
            <w:pPr>
              <w:rPr>
                <w:rFonts w:asciiTheme="majorHAnsi" w:hAnsiTheme="majorHAnsi" w:cstheme="majorHAnsi"/>
                <w:iCs/>
                <w:color w:val="333333"/>
                <w:sz w:val="22"/>
                <w:szCs w:val="22"/>
              </w:rPr>
            </w:pPr>
            <w:r w:rsidRPr="00062652">
              <w:rPr>
                <w:rFonts w:asciiTheme="majorHAnsi" w:hAnsiTheme="majorHAnsi" w:cstheme="majorHAnsi"/>
                <w:iCs/>
                <w:color w:val="333333"/>
                <w:sz w:val="22"/>
                <w:szCs w:val="22"/>
              </w:rPr>
              <w:t xml:space="preserve">Ms. Carrie Ziglar, </w:t>
            </w:r>
            <w:r w:rsidR="00C55F12" w:rsidRPr="00062652">
              <w:rPr>
                <w:rFonts w:asciiTheme="majorHAnsi" w:hAnsiTheme="majorHAnsi" w:cstheme="majorHAnsi"/>
                <w:iCs/>
                <w:color w:val="333333"/>
                <w:sz w:val="22"/>
                <w:szCs w:val="22"/>
              </w:rPr>
              <w:t>Director, Center for Academic Success</w:t>
            </w:r>
          </w:p>
          <w:p w:rsidR="00C55F12" w:rsidRPr="00062652" w:rsidRDefault="006D37CC" w:rsidP="003D5D99">
            <w:pPr>
              <w:outlineLvl w:val="3"/>
              <w:rPr>
                <w:rFonts w:asciiTheme="majorHAnsi" w:eastAsia="Times New Roman" w:hAnsiTheme="majorHAnsi" w:cstheme="majorHAnsi"/>
                <w:b/>
                <w:bCs/>
                <w:color w:val="000000" w:themeColor="text1"/>
                <w:sz w:val="22"/>
                <w:szCs w:val="22"/>
              </w:rPr>
            </w:pPr>
            <w:hyperlink r:id="rId8" w:history="1">
              <w:r w:rsidR="00C55F12" w:rsidRPr="00062652">
                <w:rPr>
                  <w:rStyle w:val="Hyperlink"/>
                  <w:rFonts w:asciiTheme="majorHAnsi" w:hAnsiTheme="majorHAnsi" w:cstheme="majorHAnsi"/>
                  <w:iCs/>
                  <w:sz w:val="22"/>
                  <w:szCs w:val="22"/>
                </w:rPr>
                <w:t>cziglar@westga.edu</w:t>
              </w:r>
            </w:hyperlink>
          </w:p>
        </w:tc>
      </w:tr>
      <w:tr w:rsidR="00EC2896" w:rsidRPr="00062652" w:rsidTr="00EC2896">
        <w:tc>
          <w:tcPr>
            <w:tcW w:w="2245" w:type="dxa"/>
          </w:tcPr>
          <w:p w:rsidR="00E13720" w:rsidRPr="00062652" w:rsidRDefault="00C55F12"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Summary of Activities</w:t>
            </w:r>
          </w:p>
        </w:tc>
        <w:tc>
          <w:tcPr>
            <w:tcW w:w="7105" w:type="dxa"/>
          </w:tcPr>
          <w:p w:rsidR="00E13720" w:rsidRPr="00062652" w:rsidRDefault="00C55F12" w:rsidP="00C55F12">
            <w:pPr>
              <w:rPr>
                <w:rFonts w:asciiTheme="majorHAnsi" w:hAnsiTheme="majorHAnsi" w:cstheme="majorHAnsi"/>
                <w:sz w:val="22"/>
                <w:szCs w:val="22"/>
              </w:rPr>
            </w:pPr>
            <w:r w:rsidRPr="00062652">
              <w:rPr>
                <w:rFonts w:asciiTheme="majorHAnsi" w:hAnsiTheme="majorHAnsi" w:cstheme="majorHAnsi"/>
                <w:sz w:val="22"/>
                <w:szCs w:val="22"/>
              </w:rPr>
              <w:t>The Center for Academic Success offers academic support services to students through peer tutoring, academic coaching and supplemental instruction.</w:t>
            </w:r>
          </w:p>
        </w:tc>
      </w:tr>
      <w:tr w:rsidR="00151EF8" w:rsidRPr="00062652" w:rsidTr="002F7B49">
        <w:tc>
          <w:tcPr>
            <w:tcW w:w="9350" w:type="dxa"/>
            <w:gridSpan w:val="2"/>
          </w:tcPr>
          <w:p w:rsidR="00151EF8" w:rsidRPr="00062652" w:rsidRDefault="00151EF8"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Measure of Progress and Success</w:t>
            </w:r>
          </w:p>
        </w:tc>
      </w:tr>
      <w:tr w:rsidR="00EC2896" w:rsidRPr="00062652" w:rsidTr="00EC2896">
        <w:tc>
          <w:tcPr>
            <w:tcW w:w="2245" w:type="dxa"/>
          </w:tcPr>
          <w:p w:rsidR="00E13720" w:rsidRPr="00062652" w:rsidRDefault="00926FC8" w:rsidP="00926FC8">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Measure, M</w:t>
            </w:r>
            <w:r w:rsidR="005B1861" w:rsidRPr="00062652">
              <w:rPr>
                <w:rFonts w:asciiTheme="majorHAnsi" w:hAnsiTheme="majorHAnsi" w:cstheme="majorHAnsi"/>
                <w:b/>
                <w:bCs/>
                <w:color w:val="000000" w:themeColor="text1"/>
                <w:sz w:val="22"/>
                <w:szCs w:val="22"/>
              </w:rPr>
              <w:t xml:space="preserve">etric, or </w:t>
            </w:r>
            <w:r w:rsidRPr="00062652">
              <w:rPr>
                <w:rFonts w:asciiTheme="majorHAnsi" w:hAnsiTheme="majorHAnsi" w:cstheme="majorHAnsi"/>
                <w:b/>
                <w:bCs/>
                <w:color w:val="000000" w:themeColor="text1"/>
                <w:sz w:val="22"/>
                <w:szCs w:val="22"/>
              </w:rPr>
              <w:t>D</w:t>
            </w:r>
            <w:r w:rsidR="005B1861" w:rsidRPr="00062652">
              <w:rPr>
                <w:rFonts w:asciiTheme="majorHAnsi" w:hAnsiTheme="majorHAnsi" w:cstheme="majorHAnsi"/>
                <w:b/>
                <w:bCs/>
                <w:color w:val="000000" w:themeColor="text1"/>
                <w:sz w:val="22"/>
                <w:szCs w:val="22"/>
              </w:rPr>
              <w:t xml:space="preserve">ata </w:t>
            </w:r>
            <w:r w:rsidRPr="00062652">
              <w:rPr>
                <w:rFonts w:asciiTheme="majorHAnsi" w:hAnsiTheme="majorHAnsi" w:cstheme="majorHAnsi"/>
                <w:b/>
                <w:bCs/>
                <w:color w:val="000000" w:themeColor="text1"/>
                <w:sz w:val="22"/>
                <w:szCs w:val="22"/>
              </w:rPr>
              <w:t>E</w:t>
            </w:r>
            <w:r w:rsidR="005B1861" w:rsidRPr="00062652">
              <w:rPr>
                <w:rFonts w:asciiTheme="majorHAnsi" w:hAnsiTheme="majorHAnsi" w:cstheme="majorHAnsi"/>
                <w:b/>
                <w:bCs/>
                <w:color w:val="000000" w:themeColor="text1"/>
                <w:sz w:val="22"/>
                <w:szCs w:val="22"/>
              </w:rPr>
              <w:t>lement</w:t>
            </w:r>
          </w:p>
        </w:tc>
        <w:tc>
          <w:tcPr>
            <w:tcW w:w="7105" w:type="dxa"/>
          </w:tcPr>
          <w:p w:rsidR="005B1861" w:rsidRPr="00062652" w:rsidRDefault="005B1861" w:rsidP="005B1861">
            <w:pPr>
              <w:pStyle w:val="ListParagraph"/>
              <w:numPr>
                <w:ilvl w:val="0"/>
                <w:numId w:val="5"/>
              </w:numPr>
              <w:contextualSpacing w:val="0"/>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Number of students using each service</w:t>
            </w:r>
          </w:p>
          <w:p w:rsidR="00E13720" w:rsidRPr="00062652" w:rsidRDefault="005B1861" w:rsidP="005B1861">
            <w:pPr>
              <w:pStyle w:val="ListParagraph"/>
              <w:numPr>
                <w:ilvl w:val="0"/>
                <w:numId w:val="5"/>
              </w:numPr>
              <w:contextualSpacing w:val="0"/>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Retention of students using services</w:t>
            </w:r>
          </w:p>
          <w:p w:rsidR="005B1861" w:rsidRPr="00062652" w:rsidRDefault="005B1861" w:rsidP="005B1861">
            <w:pPr>
              <w:pStyle w:val="ListParagraph"/>
              <w:numPr>
                <w:ilvl w:val="0"/>
                <w:numId w:val="5"/>
              </w:numPr>
              <w:contextualSpacing w:val="0"/>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 xml:space="preserve">Number of students that successfully completed courses for which they received tutoring </w:t>
            </w:r>
          </w:p>
          <w:p w:rsidR="005B1861" w:rsidRPr="00062652" w:rsidRDefault="005B1861" w:rsidP="005B1861">
            <w:pPr>
              <w:pStyle w:val="ListParagraph"/>
              <w:numPr>
                <w:ilvl w:val="0"/>
                <w:numId w:val="5"/>
              </w:numPr>
              <w:contextualSpacing w:val="0"/>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Term GPA of students using services</w:t>
            </w:r>
          </w:p>
        </w:tc>
      </w:tr>
      <w:tr w:rsidR="000E777A" w:rsidRPr="00062652" w:rsidTr="00EC2896">
        <w:tc>
          <w:tcPr>
            <w:tcW w:w="2245" w:type="dxa"/>
          </w:tcPr>
          <w:p w:rsidR="000E777A" w:rsidRPr="00062652" w:rsidRDefault="000E777A" w:rsidP="000E777A">
            <w:pPr>
              <w:outlineLvl w:val="3"/>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Baseline Measures</w:t>
            </w:r>
          </w:p>
          <w:p w:rsidR="000E777A" w:rsidRPr="00062652" w:rsidRDefault="000E777A" w:rsidP="000E777A">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2017-2018</w:t>
            </w:r>
          </w:p>
        </w:tc>
        <w:tc>
          <w:tcPr>
            <w:tcW w:w="7105" w:type="dxa"/>
          </w:tcPr>
          <w:p w:rsidR="000E777A" w:rsidRPr="00062652" w:rsidRDefault="000E777A" w:rsidP="000E777A">
            <w:p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Academic Year 2017-2018</w:t>
            </w:r>
          </w:p>
          <w:p w:rsidR="000E777A" w:rsidRPr="00062652" w:rsidRDefault="000E777A" w:rsidP="000E777A">
            <w:pPr>
              <w:outlineLvl w:val="3"/>
              <w:rPr>
                <w:rFonts w:asciiTheme="majorHAnsi" w:eastAsia="Times New Roman" w:hAnsiTheme="majorHAnsi" w:cstheme="majorHAnsi"/>
                <w:bCs/>
                <w:color w:val="000000" w:themeColor="text1"/>
                <w:sz w:val="22"/>
                <w:szCs w:val="22"/>
              </w:rPr>
            </w:pPr>
          </w:p>
          <w:p w:rsidR="000E777A" w:rsidRPr="00062652" w:rsidRDefault="000E777A" w:rsidP="000E777A">
            <w:p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Tutoring:</w:t>
            </w:r>
          </w:p>
          <w:p w:rsidR="000E777A" w:rsidRPr="00062652" w:rsidRDefault="000E777A" w:rsidP="000E777A">
            <w:pPr>
              <w:numPr>
                <w:ilvl w:val="0"/>
                <w:numId w:val="32"/>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1,269 students attended one or more tutoring sessions.</w:t>
            </w:r>
          </w:p>
          <w:p w:rsidR="000E777A" w:rsidRPr="00062652" w:rsidRDefault="000E777A" w:rsidP="000E777A">
            <w:pPr>
              <w:numPr>
                <w:ilvl w:val="0"/>
                <w:numId w:val="32"/>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87% of students using tutoring services in the Fall 2017 were retained to Spring 2018.</w:t>
            </w:r>
          </w:p>
          <w:p w:rsidR="000E777A" w:rsidRPr="00062652" w:rsidRDefault="000E777A" w:rsidP="000E777A">
            <w:pPr>
              <w:numPr>
                <w:ilvl w:val="0"/>
                <w:numId w:val="32"/>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976 of the 1,269 students (77%) who attended one or more tutoring sessions successfully completed the courses for which they received tutoring with grades of A, B, C, or S.</w:t>
            </w:r>
          </w:p>
          <w:p w:rsidR="000E777A" w:rsidRPr="00062652" w:rsidRDefault="000E777A" w:rsidP="000E777A">
            <w:p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Peer Academic Coaching:</w:t>
            </w:r>
          </w:p>
          <w:p w:rsidR="000E777A" w:rsidRPr="00062652" w:rsidRDefault="000E777A" w:rsidP="000E777A">
            <w:pPr>
              <w:numPr>
                <w:ilvl w:val="0"/>
                <w:numId w:val="33"/>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898 students attended one or more Academic Coaching Sessions (51% increase from 2016-2017).</w:t>
            </w:r>
          </w:p>
          <w:p w:rsidR="000E777A" w:rsidRPr="00062652" w:rsidRDefault="000E777A" w:rsidP="000E777A">
            <w:pPr>
              <w:numPr>
                <w:ilvl w:val="0"/>
                <w:numId w:val="33"/>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lastRenderedPageBreak/>
              <w:t xml:space="preserve">84% of students using coaching services in the Fall 2017 were retained to Spring 2018. </w:t>
            </w:r>
          </w:p>
          <w:p w:rsidR="000E777A" w:rsidRPr="00062652" w:rsidRDefault="000E777A" w:rsidP="000E777A">
            <w:pPr>
              <w:numPr>
                <w:ilvl w:val="0"/>
                <w:numId w:val="33"/>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Students who attended four or more sessions had an average GPA of 2.43 for the academic year. In essence, while our coaching numbers increased in 2017-2018, the GPAs decreased in comparison to last year. However, our coaches worked with a much higher percentage of students who were in deeper academic success than were those last year. Students achieved academic success in both years, which is the goal of Peer Academic Coaching.</w:t>
            </w:r>
          </w:p>
          <w:p w:rsidR="000E777A" w:rsidRPr="00062652" w:rsidRDefault="000E777A" w:rsidP="000E777A">
            <w:p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Supplemental Instruction (SI):</w:t>
            </w:r>
          </w:p>
          <w:p w:rsidR="000E777A" w:rsidRPr="00062652" w:rsidRDefault="000E777A" w:rsidP="000E777A">
            <w:pPr>
              <w:numPr>
                <w:ilvl w:val="0"/>
                <w:numId w:val="33"/>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1,955 students attended one or more Supplemental Instruction Sessions.</w:t>
            </w:r>
          </w:p>
          <w:p w:rsidR="000E777A" w:rsidRPr="00062652" w:rsidRDefault="000E777A" w:rsidP="000E777A">
            <w:pPr>
              <w:numPr>
                <w:ilvl w:val="0"/>
                <w:numId w:val="33"/>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92% of students who attended SI in the Fall 2017 returned for the Spring 2018 semester.</w:t>
            </w:r>
          </w:p>
          <w:p w:rsidR="000E777A" w:rsidRPr="00062652" w:rsidRDefault="000E777A" w:rsidP="000E777A">
            <w:pPr>
              <w:numPr>
                <w:ilvl w:val="0"/>
                <w:numId w:val="33"/>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Students who attended six or more SI sessions had a term GPA of 0.74 points higher than students who attended no SI sessions.</w:t>
            </w:r>
          </w:p>
          <w:p w:rsidR="000E777A" w:rsidRPr="00062652" w:rsidRDefault="000E777A" w:rsidP="000E777A">
            <w:pPr>
              <w:outlineLvl w:val="3"/>
              <w:rPr>
                <w:rFonts w:asciiTheme="majorHAnsi" w:eastAsia="Times New Roman" w:hAnsiTheme="majorHAnsi" w:cstheme="majorHAnsi"/>
                <w:bCs/>
                <w:color w:val="000000" w:themeColor="text1"/>
                <w:sz w:val="22"/>
                <w:szCs w:val="22"/>
              </w:rPr>
            </w:pPr>
          </w:p>
        </w:tc>
      </w:tr>
      <w:tr w:rsidR="000E777A" w:rsidRPr="00062652" w:rsidTr="00EC2896">
        <w:tc>
          <w:tcPr>
            <w:tcW w:w="2245" w:type="dxa"/>
          </w:tcPr>
          <w:p w:rsidR="000E777A" w:rsidRPr="00062652" w:rsidRDefault="000E777A" w:rsidP="000E777A">
            <w:pPr>
              <w:outlineLvl w:val="3"/>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lastRenderedPageBreak/>
              <w:t xml:space="preserve">Interim Measures of Progress </w:t>
            </w:r>
          </w:p>
          <w:p w:rsidR="000E777A" w:rsidRPr="00062652" w:rsidRDefault="000E777A" w:rsidP="000E777A">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2018-2019</w:t>
            </w:r>
          </w:p>
        </w:tc>
        <w:tc>
          <w:tcPr>
            <w:tcW w:w="7105" w:type="dxa"/>
          </w:tcPr>
          <w:p w:rsidR="000E777A" w:rsidRPr="00062652" w:rsidRDefault="00064BF9" w:rsidP="000E777A">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Academic Year 2018-2019</w:t>
            </w:r>
          </w:p>
          <w:p w:rsidR="00F7021F" w:rsidRPr="00062652" w:rsidRDefault="00F7021F" w:rsidP="000E777A">
            <w:pPr>
              <w:outlineLvl w:val="3"/>
              <w:rPr>
                <w:rFonts w:asciiTheme="majorHAnsi" w:eastAsia="Times New Roman" w:hAnsiTheme="majorHAnsi" w:cstheme="majorHAnsi"/>
                <w:bCs/>
                <w:sz w:val="22"/>
                <w:szCs w:val="22"/>
              </w:rPr>
            </w:pPr>
          </w:p>
          <w:p w:rsidR="00F7021F" w:rsidRPr="00062652" w:rsidRDefault="00F7021F" w:rsidP="000E777A">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Tutoring:</w:t>
            </w:r>
          </w:p>
          <w:p w:rsidR="00F7021F" w:rsidRPr="00062652" w:rsidRDefault="00F7021F" w:rsidP="00F7021F">
            <w:pPr>
              <w:pStyle w:val="ListParagraph"/>
              <w:numPr>
                <w:ilvl w:val="0"/>
                <w:numId w:val="43"/>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1,790 students attended one or more tutoring sessions.</w:t>
            </w:r>
          </w:p>
          <w:p w:rsidR="00F7021F" w:rsidRPr="00062652" w:rsidRDefault="00F7021F" w:rsidP="00F7021F">
            <w:pPr>
              <w:pStyle w:val="ListParagraph"/>
              <w:numPr>
                <w:ilvl w:val="0"/>
                <w:numId w:val="43"/>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82% of students using tutoring services in the Fall 2018 were retained to Spring 2019.</w:t>
            </w:r>
          </w:p>
          <w:p w:rsidR="00064BF9" w:rsidRPr="00062652" w:rsidRDefault="00F7021F" w:rsidP="000E777A">
            <w:pPr>
              <w:pStyle w:val="ListParagraph"/>
              <w:numPr>
                <w:ilvl w:val="0"/>
                <w:numId w:val="43"/>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1,542 of the 1,790 (86%) who attended one or more tutoring sessions successfully completed the courses for which they received tutoring with grades of A, B, C, or S.</w:t>
            </w:r>
          </w:p>
          <w:p w:rsidR="00A1486E" w:rsidRPr="00062652" w:rsidRDefault="00A1486E" w:rsidP="00D64111">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Peer Academic Coaching:</w:t>
            </w:r>
          </w:p>
          <w:p w:rsidR="00A1486E" w:rsidRPr="00062652" w:rsidRDefault="00A1486E" w:rsidP="00A1486E">
            <w:pPr>
              <w:pStyle w:val="ListParagraph"/>
              <w:numPr>
                <w:ilvl w:val="0"/>
                <w:numId w:val="45"/>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 xml:space="preserve">1,280 students attended one or more Academic Coaching Sessions </w:t>
            </w:r>
          </w:p>
          <w:p w:rsidR="00A1486E" w:rsidRPr="00062652" w:rsidRDefault="00A1486E" w:rsidP="00A1486E">
            <w:pPr>
              <w:pStyle w:val="ListParagraph"/>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(30% increase from 2017-2018)</w:t>
            </w:r>
          </w:p>
          <w:p w:rsidR="00A1486E" w:rsidRPr="00062652" w:rsidRDefault="00CF57D6" w:rsidP="00A1486E">
            <w:pPr>
              <w:pStyle w:val="ListParagraph"/>
              <w:numPr>
                <w:ilvl w:val="0"/>
                <w:numId w:val="45"/>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86.1</w:t>
            </w:r>
            <w:r w:rsidR="00105433" w:rsidRPr="00062652">
              <w:rPr>
                <w:rFonts w:asciiTheme="majorHAnsi" w:eastAsia="Times New Roman" w:hAnsiTheme="majorHAnsi" w:cstheme="majorHAnsi"/>
                <w:bCs/>
                <w:sz w:val="22"/>
                <w:szCs w:val="22"/>
              </w:rPr>
              <w:t>% of students using coaching services in the Fall 2018 were retained to Spring 2019.</w:t>
            </w:r>
          </w:p>
          <w:p w:rsidR="00105433" w:rsidRPr="00062652" w:rsidRDefault="00105433" w:rsidP="00A1486E">
            <w:pPr>
              <w:pStyle w:val="ListParagraph"/>
              <w:numPr>
                <w:ilvl w:val="0"/>
                <w:numId w:val="45"/>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 xml:space="preserve">Students who attended four or more sessions had an average GPA of 2.48 for the academic year.  Our coaching numbers continued to increase and the GPAs also increased in comparison to last year.  </w:t>
            </w:r>
          </w:p>
          <w:p w:rsidR="00B02F9C" w:rsidRPr="00062652" w:rsidRDefault="00B02F9C" w:rsidP="00D64111">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Supplemental Instruction (SI):</w:t>
            </w:r>
          </w:p>
          <w:p w:rsidR="00B02F9C" w:rsidRPr="00062652" w:rsidRDefault="00B02F9C" w:rsidP="00D64111">
            <w:pPr>
              <w:pStyle w:val="ListParagraph"/>
              <w:numPr>
                <w:ilvl w:val="0"/>
                <w:numId w:val="47"/>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2,508 students attended one or more Supplemental Instruction Sessions.  An increase of 25% from 2017-2018.</w:t>
            </w:r>
          </w:p>
          <w:p w:rsidR="00BD7632" w:rsidRPr="00062652" w:rsidRDefault="008518D2" w:rsidP="00D64111">
            <w:pPr>
              <w:pStyle w:val="ListParagraph"/>
              <w:numPr>
                <w:ilvl w:val="0"/>
                <w:numId w:val="47"/>
              </w:num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91</w:t>
            </w:r>
            <w:r w:rsidR="00BD7632" w:rsidRPr="00062652">
              <w:rPr>
                <w:rFonts w:asciiTheme="majorHAnsi" w:eastAsia="Times New Roman" w:hAnsiTheme="majorHAnsi" w:cstheme="majorHAnsi"/>
                <w:bCs/>
                <w:sz w:val="22"/>
                <w:szCs w:val="22"/>
              </w:rPr>
              <w:t xml:space="preserve">% of students </w:t>
            </w:r>
            <w:r w:rsidRPr="00062652">
              <w:rPr>
                <w:rFonts w:asciiTheme="majorHAnsi" w:eastAsia="Times New Roman" w:hAnsiTheme="majorHAnsi" w:cstheme="majorHAnsi"/>
                <w:bCs/>
                <w:sz w:val="22"/>
                <w:szCs w:val="22"/>
              </w:rPr>
              <w:t>who attended SI in the Fall 2018 returned for the Spring 2019</w:t>
            </w:r>
            <w:r w:rsidR="00BD7632" w:rsidRPr="00062652">
              <w:rPr>
                <w:rFonts w:asciiTheme="majorHAnsi" w:eastAsia="Times New Roman" w:hAnsiTheme="majorHAnsi" w:cstheme="majorHAnsi"/>
                <w:bCs/>
                <w:sz w:val="22"/>
                <w:szCs w:val="22"/>
              </w:rPr>
              <w:t xml:space="preserve"> semester. </w:t>
            </w:r>
          </w:p>
          <w:p w:rsidR="00BD7632" w:rsidRPr="00062652" w:rsidRDefault="00BD7632" w:rsidP="00D64111">
            <w:pPr>
              <w:pStyle w:val="ListParagraph"/>
              <w:numPr>
                <w:ilvl w:val="0"/>
                <w:numId w:val="47"/>
              </w:num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sz w:val="22"/>
                <w:szCs w:val="22"/>
              </w:rPr>
              <w:t>Students who attended six or more SI sessions had a term GPA of 0.59 points higher than students who attended no SI sessions.</w:t>
            </w:r>
          </w:p>
          <w:p w:rsidR="00064BF9" w:rsidRPr="00062652" w:rsidRDefault="00064BF9" w:rsidP="000E777A">
            <w:pPr>
              <w:outlineLvl w:val="3"/>
              <w:rPr>
                <w:rFonts w:asciiTheme="majorHAnsi" w:eastAsia="Times New Roman" w:hAnsiTheme="majorHAnsi" w:cstheme="majorHAnsi"/>
                <w:bCs/>
                <w:color w:val="000000" w:themeColor="text1"/>
                <w:sz w:val="22"/>
                <w:szCs w:val="22"/>
              </w:rPr>
            </w:pPr>
          </w:p>
        </w:tc>
      </w:tr>
      <w:tr w:rsidR="000E777A" w:rsidRPr="00062652" w:rsidTr="00EC2896">
        <w:tc>
          <w:tcPr>
            <w:tcW w:w="2245" w:type="dxa"/>
          </w:tcPr>
          <w:p w:rsidR="000E777A" w:rsidRPr="00062652" w:rsidRDefault="000E777A" w:rsidP="000E777A">
            <w:pPr>
              <w:outlineLvl w:val="3"/>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Measures of Success</w:t>
            </w:r>
          </w:p>
          <w:p w:rsidR="00B02F9C" w:rsidRPr="00062652" w:rsidRDefault="00B02F9C" w:rsidP="000E777A">
            <w:pPr>
              <w:outlineLvl w:val="3"/>
              <w:rPr>
                <w:rFonts w:asciiTheme="majorHAnsi" w:eastAsia="Times New Roman" w:hAnsiTheme="majorHAnsi" w:cstheme="majorHAnsi"/>
                <w:bCs/>
                <w:color w:val="FF0000"/>
                <w:sz w:val="22"/>
                <w:szCs w:val="22"/>
              </w:rPr>
            </w:pPr>
          </w:p>
        </w:tc>
        <w:tc>
          <w:tcPr>
            <w:tcW w:w="7105" w:type="dxa"/>
          </w:tcPr>
          <w:p w:rsidR="000E777A" w:rsidRPr="00062652" w:rsidRDefault="000E777A" w:rsidP="000E777A">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color w:val="000000" w:themeColor="text1"/>
                <w:sz w:val="22"/>
                <w:szCs w:val="22"/>
              </w:rPr>
              <w:t>Ultimately, we anticipate that the focused attention on tutoring, peer academic coachin</w:t>
            </w:r>
            <w:r w:rsidR="0010331D" w:rsidRPr="00062652">
              <w:rPr>
                <w:rFonts w:asciiTheme="majorHAnsi" w:hAnsiTheme="majorHAnsi" w:cstheme="majorHAnsi"/>
                <w:color w:val="000000" w:themeColor="text1"/>
                <w:sz w:val="22"/>
                <w:szCs w:val="22"/>
              </w:rPr>
              <w:t xml:space="preserve">g, and supplemental instruction has </w:t>
            </w:r>
            <w:r w:rsidRPr="00062652">
              <w:rPr>
                <w:rFonts w:asciiTheme="majorHAnsi" w:hAnsiTheme="majorHAnsi" w:cstheme="majorHAnsi"/>
                <w:color w:val="000000" w:themeColor="text1"/>
                <w:sz w:val="22"/>
                <w:szCs w:val="22"/>
              </w:rPr>
              <w:t>positively influence</w:t>
            </w:r>
            <w:r w:rsidR="0010331D" w:rsidRPr="00062652">
              <w:rPr>
                <w:rFonts w:asciiTheme="majorHAnsi" w:hAnsiTheme="majorHAnsi" w:cstheme="majorHAnsi"/>
                <w:color w:val="000000" w:themeColor="text1"/>
                <w:sz w:val="22"/>
                <w:szCs w:val="22"/>
              </w:rPr>
              <w:t>s</w:t>
            </w:r>
            <w:r w:rsidRPr="00062652">
              <w:rPr>
                <w:rFonts w:asciiTheme="majorHAnsi" w:hAnsiTheme="majorHAnsi" w:cstheme="majorHAnsi"/>
                <w:color w:val="000000" w:themeColor="text1"/>
                <w:sz w:val="22"/>
                <w:szCs w:val="22"/>
              </w:rPr>
              <w:t xml:space="preserve"> graduation rates. The increased effort began on a small scale in 2015-2016. We developed the services more fully in 2016-2017 and strengthened them </w:t>
            </w:r>
            <w:r w:rsidRPr="00062652">
              <w:rPr>
                <w:rFonts w:asciiTheme="majorHAnsi" w:hAnsiTheme="majorHAnsi" w:cstheme="majorHAnsi"/>
                <w:color w:val="000000" w:themeColor="text1"/>
                <w:sz w:val="22"/>
                <w:szCs w:val="22"/>
              </w:rPr>
              <w:lastRenderedPageBreak/>
              <w:t>further in 2017-2018. Four-year graduation rates at the end of FY 2020 should reflect the effect of this initiative.</w:t>
            </w:r>
          </w:p>
        </w:tc>
      </w:tr>
      <w:tr w:rsidR="000E777A" w:rsidRPr="00062652" w:rsidTr="00CA36E1">
        <w:tc>
          <w:tcPr>
            <w:tcW w:w="2245" w:type="dxa"/>
          </w:tcPr>
          <w:p w:rsidR="000E777A" w:rsidRPr="00062652" w:rsidRDefault="000E777A" w:rsidP="000E777A">
            <w:pPr>
              <w:outlineLvl w:val="3"/>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lastRenderedPageBreak/>
              <w:t>Lessons Learned</w:t>
            </w:r>
          </w:p>
          <w:p w:rsidR="00B02F9C" w:rsidRPr="00062652" w:rsidRDefault="00B02F9C" w:rsidP="000E777A">
            <w:pPr>
              <w:outlineLvl w:val="3"/>
              <w:rPr>
                <w:rFonts w:asciiTheme="majorHAnsi" w:hAnsiTheme="majorHAnsi" w:cstheme="majorHAnsi"/>
                <w:b/>
                <w:bCs/>
                <w:color w:val="000000" w:themeColor="text1"/>
                <w:sz w:val="22"/>
                <w:szCs w:val="22"/>
              </w:rPr>
            </w:pPr>
          </w:p>
          <w:p w:rsidR="00B02F9C" w:rsidRPr="00062652" w:rsidRDefault="00B02F9C" w:rsidP="000E777A">
            <w:pPr>
              <w:outlineLvl w:val="3"/>
              <w:rPr>
                <w:rFonts w:asciiTheme="majorHAnsi" w:hAnsiTheme="majorHAnsi" w:cstheme="majorHAnsi"/>
                <w:b/>
                <w:bCs/>
                <w:color w:val="000000" w:themeColor="text1"/>
                <w:sz w:val="22"/>
                <w:szCs w:val="22"/>
              </w:rPr>
            </w:pPr>
          </w:p>
          <w:p w:rsidR="00B02F9C" w:rsidRPr="00062652" w:rsidRDefault="00B02F9C" w:rsidP="000E777A">
            <w:pPr>
              <w:outlineLvl w:val="3"/>
              <w:rPr>
                <w:rFonts w:asciiTheme="majorHAnsi" w:hAnsiTheme="majorHAnsi" w:cstheme="majorHAnsi"/>
                <w:b/>
                <w:bCs/>
                <w:color w:val="000000" w:themeColor="text1"/>
                <w:sz w:val="22"/>
                <w:szCs w:val="22"/>
              </w:rPr>
            </w:pPr>
          </w:p>
          <w:p w:rsidR="00B02F9C" w:rsidRPr="00062652" w:rsidRDefault="00B02F9C" w:rsidP="000E777A">
            <w:pPr>
              <w:outlineLvl w:val="3"/>
              <w:rPr>
                <w:rFonts w:asciiTheme="majorHAnsi" w:hAnsiTheme="majorHAnsi" w:cstheme="majorHAnsi"/>
                <w:b/>
                <w:bCs/>
                <w:color w:val="000000" w:themeColor="text1"/>
                <w:sz w:val="22"/>
                <w:szCs w:val="22"/>
              </w:rPr>
            </w:pPr>
          </w:p>
          <w:p w:rsidR="00B02F9C" w:rsidRPr="00062652" w:rsidRDefault="00B02F9C" w:rsidP="000E777A">
            <w:pPr>
              <w:outlineLvl w:val="3"/>
              <w:rPr>
                <w:rFonts w:asciiTheme="majorHAnsi" w:hAnsiTheme="majorHAnsi" w:cstheme="majorHAnsi"/>
                <w:b/>
                <w:bCs/>
                <w:color w:val="000000" w:themeColor="text1"/>
                <w:sz w:val="22"/>
                <w:szCs w:val="22"/>
              </w:rPr>
            </w:pPr>
          </w:p>
          <w:p w:rsidR="00B02F9C" w:rsidRPr="00062652" w:rsidRDefault="00B02F9C" w:rsidP="000E777A">
            <w:pPr>
              <w:outlineLvl w:val="3"/>
              <w:rPr>
                <w:rFonts w:asciiTheme="majorHAnsi" w:hAnsiTheme="majorHAnsi" w:cstheme="majorHAnsi"/>
                <w:b/>
                <w:bCs/>
                <w:color w:val="000000" w:themeColor="text1"/>
                <w:sz w:val="22"/>
                <w:szCs w:val="22"/>
              </w:rPr>
            </w:pPr>
          </w:p>
          <w:p w:rsidR="00B02F9C" w:rsidRPr="00062652" w:rsidRDefault="00B02F9C" w:rsidP="000E777A">
            <w:pPr>
              <w:outlineLvl w:val="3"/>
              <w:rPr>
                <w:rFonts w:asciiTheme="majorHAnsi" w:hAnsiTheme="majorHAnsi" w:cstheme="majorHAnsi"/>
                <w:b/>
                <w:bCs/>
                <w:color w:val="000000" w:themeColor="text1"/>
                <w:sz w:val="22"/>
                <w:szCs w:val="22"/>
              </w:rPr>
            </w:pPr>
          </w:p>
          <w:p w:rsidR="00B02F9C" w:rsidRPr="00062652" w:rsidRDefault="00B02F9C" w:rsidP="000E777A">
            <w:pPr>
              <w:outlineLvl w:val="3"/>
              <w:rPr>
                <w:rFonts w:asciiTheme="majorHAnsi" w:eastAsia="Times New Roman" w:hAnsiTheme="majorHAnsi" w:cstheme="majorHAnsi"/>
                <w:b/>
                <w:bCs/>
                <w:color w:val="FF0000"/>
                <w:sz w:val="22"/>
                <w:szCs w:val="22"/>
              </w:rPr>
            </w:pPr>
          </w:p>
        </w:tc>
        <w:tc>
          <w:tcPr>
            <w:tcW w:w="7105" w:type="dxa"/>
            <w:shd w:val="clear" w:color="auto" w:fill="auto"/>
          </w:tcPr>
          <w:p w:rsidR="000E777A" w:rsidRPr="00062652" w:rsidRDefault="000E777A" w:rsidP="000E777A">
            <w:p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 xml:space="preserve">Adequate space to host SI sessions </w:t>
            </w:r>
            <w:r w:rsidR="0010331D" w:rsidRPr="00062652">
              <w:rPr>
                <w:rFonts w:asciiTheme="majorHAnsi" w:eastAsia="Times New Roman" w:hAnsiTheme="majorHAnsi" w:cstheme="majorHAnsi"/>
                <w:bCs/>
                <w:color w:val="000000" w:themeColor="text1"/>
                <w:sz w:val="22"/>
                <w:szCs w:val="22"/>
              </w:rPr>
              <w:t xml:space="preserve">previously was </w:t>
            </w:r>
            <w:r w:rsidRPr="00062652">
              <w:rPr>
                <w:rFonts w:asciiTheme="majorHAnsi" w:eastAsia="Times New Roman" w:hAnsiTheme="majorHAnsi" w:cstheme="majorHAnsi"/>
                <w:bCs/>
                <w:color w:val="000000" w:themeColor="text1"/>
                <w:sz w:val="22"/>
                <w:szCs w:val="22"/>
              </w:rPr>
              <w:t>a challenge. In 2017-2018 we carved out three designated SI spaces in the Center for Academic Success to help with access to appropriate space at best times for our students.  Due to staffing, we have lost</w:t>
            </w:r>
            <w:r w:rsidR="0010331D" w:rsidRPr="00062652">
              <w:rPr>
                <w:rFonts w:asciiTheme="majorHAnsi" w:eastAsia="Times New Roman" w:hAnsiTheme="majorHAnsi" w:cstheme="majorHAnsi"/>
                <w:bCs/>
                <w:color w:val="000000" w:themeColor="text1"/>
                <w:sz w:val="22"/>
                <w:szCs w:val="22"/>
              </w:rPr>
              <w:t xml:space="preserve"> one of those spaces in </w:t>
            </w:r>
            <w:r w:rsidRPr="00062652">
              <w:rPr>
                <w:rFonts w:asciiTheme="majorHAnsi" w:eastAsia="Times New Roman" w:hAnsiTheme="majorHAnsi" w:cstheme="majorHAnsi"/>
                <w:bCs/>
                <w:color w:val="000000" w:themeColor="text1"/>
                <w:sz w:val="22"/>
                <w:szCs w:val="22"/>
              </w:rPr>
              <w:t xml:space="preserve">the </w:t>
            </w:r>
            <w:r w:rsidR="0010331D" w:rsidRPr="00062652">
              <w:rPr>
                <w:rFonts w:asciiTheme="majorHAnsi" w:eastAsia="Times New Roman" w:hAnsiTheme="majorHAnsi" w:cstheme="majorHAnsi"/>
                <w:bCs/>
                <w:color w:val="000000" w:themeColor="text1"/>
                <w:sz w:val="22"/>
                <w:szCs w:val="22"/>
              </w:rPr>
              <w:t>2018- 2019 academic</w:t>
            </w:r>
            <w:r w:rsidRPr="00062652">
              <w:rPr>
                <w:rFonts w:asciiTheme="majorHAnsi" w:eastAsia="Times New Roman" w:hAnsiTheme="majorHAnsi" w:cstheme="majorHAnsi"/>
                <w:bCs/>
                <w:color w:val="000000" w:themeColor="text1"/>
                <w:sz w:val="22"/>
                <w:szCs w:val="22"/>
              </w:rPr>
              <w:t xml:space="preserve"> year.  </w:t>
            </w:r>
            <w:r w:rsidR="0010331D" w:rsidRPr="00062652">
              <w:rPr>
                <w:rFonts w:asciiTheme="majorHAnsi" w:eastAsia="Times New Roman" w:hAnsiTheme="majorHAnsi" w:cstheme="majorHAnsi"/>
                <w:bCs/>
                <w:color w:val="000000" w:themeColor="text1"/>
                <w:sz w:val="22"/>
                <w:szCs w:val="22"/>
              </w:rPr>
              <w:t xml:space="preserve">To address the space challenge, additional SI spaces were created om Gunn Hall.  The A wing of Gunn Hall was converted into office space and meeting rooms. The Center for Teaching and Learning Director and the Director of First-Year Academic Initiatives are housed in that space.  Several   rooms are dedicated spaces for SI sessions. </w:t>
            </w:r>
            <w:r w:rsidRPr="00062652">
              <w:rPr>
                <w:rFonts w:asciiTheme="majorHAnsi" w:eastAsia="Times New Roman" w:hAnsiTheme="majorHAnsi" w:cstheme="majorHAnsi"/>
                <w:bCs/>
                <w:color w:val="000000" w:themeColor="text1"/>
                <w:sz w:val="22"/>
                <w:szCs w:val="22"/>
              </w:rPr>
              <w:t xml:space="preserve">Additionally, UWG’s new scheduling software </w:t>
            </w:r>
            <w:r w:rsidR="0010331D" w:rsidRPr="00062652">
              <w:rPr>
                <w:rFonts w:asciiTheme="majorHAnsi" w:eastAsia="Times New Roman" w:hAnsiTheme="majorHAnsi" w:cstheme="majorHAnsi"/>
                <w:bCs/>
                <w:color w:val="000000" w:themeColor="text1"/>
                <w:sz w:val="22"/>
                <w:szCs w:val="22"/>
              </w:rPr>
              <w:t xml:space="preserve">has </w:t>
            </w:r>
            <w:r w:rsidRPr="00062652">
              <w:rPr>
                <w:rFonts w:asciiTheme="majorHAnsi" w:eastAsia="Times New Roman" w:hAnsiTheme="majorHAnsi" w:cstheme="majorHAnsi"/>
                <w:bCs/>
                <w:color w:val="000000" w:themeColor="text1"/>
                <w:sz w:val="22"/>
                <w:szCs w:val="22"/>
              </w:rPr>
              <w:t>give</w:t>
            </w:r>
            <w:r w:rsidR="0010331D" w:rsidRPr="00062652">
              <w:rPr>
                <w:rFonts w:asciiTheme="majorHAnsi" w:eastAsia="Times New Roman" w:hAnsiTheme="majorHAnsi" w:cstheme="majorHAnsi"/>
                <w:bCs/>
                <w:color w:val="000000" w:themeColor="text1"/>
                <w:sz w:val="22"/>
                <w:szCs w:val="22"/>
              </w:rPr>
              <w:t>n</w:t>
            </w:r>
            <w:r w:rsidRPr="00062652">
              <w:rPr>
                <w:rFonts w:asciiTheme="majorHAnsi" w:eastAsia="Times New Roman" w:hAnsiTheme="majorHAnsi" w:cstheme="majorHAnsi"/>
                <w:bCs/>
                <w:color w:val="000000" w:themeColor="text1"/>
                <w:sz w:val="22"/>
                <w:szCs w:val="22"/>
              </w:rPr>
              <w:t xml:space="preserve"> us more control over finding available space</w:t>
            </w:r>
            <w:r w:rsidR="00F14301" w:rsidRPr="00062652">
              <w:rPr>
                <w:rFonts w:asciiTheme="majorHAnsi" w:eastAsia="Times New Roman" w:hAnsiTheme="majorHAnsi" w:cstheme="majorHAnsi"/>
                <w:bCs/>
                <w:color w:val="000000" w:themeColor="text1"/>
                <w:sz w:val="22"/>
                <w:szCs w:val="22"/>
              </w:rPr>
              <w:t>s for tutoring as well.</w:t>
            </w:r>
            <w:r w:rsidRPr="00062652">
              <w:rPr>
                <w:rFonts w:asciiTheme="majorHAnsi" w:eastAsia="Times New Roman" w:hAnsiTheme="majorHAnsi" w:cstheme="majorHAnsi"/>
                <w:bCs/>
                <w:color w:val="000000" w:themeColor="text1"/>
                <w:sz w:val="22"/>
                <w:szCs w:val="22"/>
              </w:rPr>
              <w:t xml:space="preserve">  </w:t>
            </w:r>
          </w:p>
          <w:p w:rsidR="00815919" w:rsidRPr="00062652" w:rsidRDefault="00815919" w:rsidP="000E777A">
            <w:pPr>
              <w:outlineLvl w:val="3"/>
              <w:rPr>
                <w:rFonts w:asciiTheme="majorHAnsi" w:eastAsia="Times New Roman" w:hAnsiTheme="majorHAnsi" w:cstheme="majorHAnsi"/>
                <w:bCs/>
                <w:sz w:val="22"/>
                <w:szCs w:val="22"/>
              </w:rPr>
            </w:pPr>
          </w:p>
          <w:p w:rsidR="00815919" w:rsidRPr="00062652" w:rsidRDefault="00815919" w:rsidP="00815919">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As our focus continues to grow by promoting THREE TO SUCCEED intentionally to students receiving Academic Early Alerts from faculty, we made some calculated changes in the alert delivery.   These changes produced a 92% response rate from the UWG faculty for the spring 2019 semester.  For the 2018-2019 year</w:t>
            </w:r>
            <w:r w:rsidR="00F14301" w:rsidRPr="00062652">
              <w:rPr>
                <w:rFonts w:asciiTheme="majorHAnsi" w:eastAsia="Times New Roman" w:hAnsiTheme="majorHAnsi" w:cstheme="majorHAnsi"/>
                <w:bCs/>
                <w:sz w:val="22"/>
                <w:szCs w:val="22"/>
              </w:rPr>
              <w:t>,</w:t>
            </w:r>
            <w:r w:rsidRPr="00062652">
              <w:rPr>
                <w:rFonts w:asciiTheme="majorHAnsi" w:eastAsia="Times New Roman" w:hAnsiTheme="majorHAnsi" w:cstheme="majorHAnsi"/>
                <w:bCs/>
                <w:sz w:val="22"/>
                <w:szCs w:val="22"/>
              </w:rPr>
              <w:t xml:space="preserve"> 4,164 students were marked at risk with 36.2% of these students seeking services in the CAS.  The alert students who participated in THREE TO SUCCEED earned an average cumulative GPA for the academic year of 2.58 while students with alerts who used NO CAS services had a cumulative GPA for the academic year of 2.02.  </w:t>
            </w:r>
          </w:p>
          <w:p w:rsidR="00815919" w:rsidRPr="00062652" w:rsidRDefault="00815919" w:rsidP="000E777A">
            <w:pPr>
              <w:outlineLvl w:val="3"/>
              <w:rPr>
                <w:rFonts w:asciiTheme="majorHAnsi" w:eastAsia="Times New Roman" w:hAnsiTheme="majorHAnsi" w:cstheme="majorHAnsi"/>
                <w:bCs/>
                <w:sz w:val="22"/>
                <w:szCs w:val="22"/>
              </w:rPr>
            </w:pPr>
          </w:p>
          <w:p w:rsidR="00CA36E1" w:rsidRPr="00062652" w:rsidRDefault="00CA36E1" w:rsidP="000E777A">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 xml:space="preserve">While we continue to target courses for Supplemental Instruction (SI) using the criterion of DFW rate of 25% or higher as well as achieving the goal of 30% to 32% of students who have access to Supplemental Instruction would attend sessions.  Fall 2018 and Spring 2019attendance in SI sessions was up, however, </w:t>
            </w:r>
            <w:r w:rsidR="00EB4E51" w:rsidRPr="00062652">
              <w:rPr>
                <w:rFonts w:asciiTheme="majorHAnsi" w:eastAsia="Times New Roman" w:hAnsiTheme="majorHAnsi" w:cstheme="majorHAnsi"/>
                <w:bCs/>
                <w:sz w:val="22"/>
                <w:szCs w:val="22"/>
              </w:rPr>
              <w:t>we only had 28.7</w:t>
            </w:r>
            <w:r w:rsidRPr="00062652">
              <w:rPr>
                <w:rFonts w:asciiTheme="majorHAnsi" w:eastAsia="Times New Roman" w:hAnsiTheme="majorHAnsi" w:cstheme="majorHAnsi"/>
                <w:bCs/>
                <w:sz w:val="22"/>
                <w:szCs w:val="22"/>
              </w:rPr>
              <w:t xml:space="preserve">% of eligible students attend sessions.  </w:t>
            </w:r>
            <w:r w:rsidR="00EB4E51" w:rsidRPr="00062652">
              <w:rPr>
                <w:rFonts w:asciiTheme="majorHAnsi" w:eastAsia="Times New Roman" w:hAnsiTheme="majorHAnsi" w:cstheme="majorHAnsi"/>
                <w:bCs/>
                <w:sz w:val="22"/>
                <w:szCs w:val="22"/>
              </w:rPr>
              <w:t xml:space="preserve">Our approach has been stronger collaboration with faculty to garner greater attendance.  Recent data indicates students are attending more sessions, but fewer unique visits.  </w:t>
            </w:r>
          </w:p>
          <w:p w:rsidR="00881EEA" w:rsidRPr="00062652" w:rsidRDefault="00881EEA" w:rsidP="000E777A">
            <w:pPr>
              <w:outlineLvl w:val="3"/>
              <w:rPr>
                <w:rFonts w:asciiTheme="majorHAnsi" w:eastAsia="Times New Roman" w:hAnsiTheme="majorHAnsi" w:cstheme="majorHAnsi"/>
                <w:bCs/>
                <w:sz w:val="22"/>
                <w:szCs w:val="22"/>
              </w:rPr>
            </w:pPr>
          </w:p>
          <w:p w:rsidR="00881EEA" w:rsidRPr="00062652" w:rsidRDefault="00881EEA" w:rsidP="000E777A">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We continue to market our three hallmark services in an effort to get students engaged early and often with tutoring and coaching</w:t>
            </w:r>
            <w:r w:rsidR="00416CB5" w:rsidRPr="00062652">
              <w:rPr>
                <w:rFonts w:asciiTheme="majorHAnsi" w:eastAsia="Times New Roman" w:hAnsiTheme="majorHAnsi" w:cstheme="majorHAnsi"/>
                <w:bCs/>
                <w:sz w:val="22"/>
                <w:szCs w:val="22"/>
              </w:rPr>
              <w:t>.  Supplemental Instruction, while</w:t>
            </w:r>
            <w:r w:rsidRPr="00062652">
              <w:rPr>
                <w:rFonts w:asciiTheme="majorHAnsi" w:eastAsia="Times New Roman" w:hAnsiTheme="majorHAnsi" w:cstheme="majorHAnsi"/>
                <w:bCs/>
                <w:sz w:val="22"/>
                <w:szCs w:val="22"/>
              </w:rPr>
              <w:t xml:space="preserve"> n</w:t>
            </w:r>
            <w:r w:rsidR="00416CB5" w:rsidRPr="00062652">
              <w:rPr>
                <w:rFonts w:asciiTheme="majorHAnsi" w:eastAsia="Times New Roman" w:hAnsiTheme="majorHAnsi" w:cstheme="majorHAnsi"/>
                <w:bCs/>
                <w:sz w:val="22"/>
                <w:szCs w:val="22"/>
              </w:rPr>
              <w:t>ot available in all courses,</w:t>
            </w:r>
            <w:r w:rsidRPr="00062652">
              <w:rPr>
                <w:rFonts w:asciiTheme="majorHAnsi" w:eastAsia="Times New Roman" w:hAnsiTheme="majorHAnsi" w:cstheme="majorHAnsi"/>
                <w:bCs/>
                <w:sz w:val="22"/>
                <w:szCs w:val="22"/>
              </w:rPr>
              <w:t xml:space="preserve"> continues to be the program that reflects the </w:t>
            </w:r>
            <w:r w:rsidR="00416CB5" w:rsidRPr="00062652">
              <w:rPr>
                <w:rFonts w:asciiTheme="majorHAnsi" w:eastAsia="Times New Roman" w:hAnsiTheme="majorHAnsi" w:cstheme="majorHAnsi"/>
                <w:bCs/>
                <w:sz w:val="22"/>
                <w:szCs w:val="22"/>
              </w:rPr>
              <w:t>most successful “</w:t>
            </w:r>
            <w:r w:rsidR="008D3D46" w:rsidRPr="00062652">
              <w:rPr>
                <w:rFonts w:asciiTheme="majorHAnsi" w:eastAsia="Times New Roman" w:hAnsiTheme="majorHAnsi" w:cstheme="majorHAnsi"/>
                <w:bCs/>
                <w:sz w:val="22"/>
                <w:szCs w:val="22"/>
              </w:rPr>
              <w:t>with a</w:t>
            </w:r>
            <w:r w:rsidR="00177DA9" w:rsidRPr="00062652">
              <w:rPr>
                <w:rFonts w:asciiTheme="majorHAnsi" w:eastAsia="Times New Roman" w:hAnsiTheme="majorHAnsi" w:cstheme="majorHAnsi"/>
                <w:bCs/>
                <w:sz w:val="22"/>
                <w:szCs w:val="22"/>
              </w:rPr>
              <w:t xml:space="preserve"> term GPA</w:t>
            </w:r>
            <w:r w:rsidR="008D3D46" w:rsidRPr="00062652">
              <w:rPr>
                <w:rFonts w:asciiTheme="majorHAnsi" w:eastAsia="Times New Roman" w:hAnsiTheme="majorHAnsi" w:cstheme="majorHAnsi"/>
                <w:bCs/>
                <w:sz w:val="22"/>
                <w:szCs w:val="22"/>
              </w:rPr>
              <w:t xml:space="preserve"> </w:t>
            </w:r>
            <w:r w:rsidR="00416CB5" w:rsidRPr="00062652">
              <w:rPr>
                <w:rFonts w:asciiTheme="majorHAnsi" w:eastAsia="Times New Roman" w:hAnsiTheme="majorHAnsi" w:cstheme="majorHAnsi"/>
                <w:bCs/>
                <w:sz w:val="22"/>
                <w:szCs w:val="22"/>
              </w:rPr>
              <w:t>difference between SI participants and non-participants for the 2</w:t>
            </w:r>
            <w:r w:rsidR="008D3D46" w:rsidRPr="00062652">
              <w:rPr>
                <w:rFonts w:asciiTheme="majorHAnsi" w:eastAsia="Times New Roman" w:hAnsiTheme="majorHAnsi" w:cstheme="majorHAnsi"/>
                <w:bCs/>
                <w:sz w:val="22"/>
                <w:szCs w:val="22"/>
              </w:rPr>
              <w:t>018-2019 academic year being</w:t>
            </w:r>
            <w:r w:rsidR="00416CB5" w:rsidRPr="00062652">
              <w:rPr>
                <w:rFonts w:asciiTheme="majorHAnsi" w:eastAsia="Times New Roman" w:hAnsiTheme="majorHAnsi" w:cstheme="majorHAnsi"/>
                <w:bCs/>
                <w:sz w:val="22"/>
                <w:szCs w:val="22"/>
              </w:rPr>
              <w:t xml:space="preserve"> 0.59” </w:t>
            </w:r>
            <w:r w:rsidR="008D3D46" w:rsidRPr="00062652">
              <w:rPr>
                <w:rFonts w:asciiTheme="majorHAnsi" w:eastAsia="Times New Roman" w:hAnsiTheme="majorHAnsi" w:cstheme="majorHAnsi"/>
                <w:bCs/>
                <w:sz w:val="22"/>
                <w:szCs w:val="22"/>
              </w:rPr>
              <w:t>higher per class.</w:t>
            </w:r>
          </w:p>
          <w:p w:rsidR="00376E9F" w:rsidRPr="00062652" w:rsidRDefault="00376E9F" w:rsidP="000E777A">
            <w:pPr>
              <w:outlineLvl w:val="3"/>
              <w:rPr>
                <w:rFonts w:asciiTheme="majorHAnsi" w:eastAsia="Times New Roman" w:hAnsiTheme="majorHAnsi" w:cstheme="majorHAnsi"/>
                <w:bCs/>
                <w:sz w:val="22"/>
                <w:szCs w:val="22"/>
              </w:rPr>
            </w:pPr>
          </w:p>
          <w:p w:rsidR="00376E9F" w:rsidRPr="00062652" w:rsidRDefault="00376E9F" w:rsidP="000E777A">
            <w:pPr>
              <w:outlineLvl w:val="3"/>
              <w:rPr>
                <w:rFonts w:asciiTheme="majorHAnsi" w:eastAsia="Times New Roman" w:hAnsiTheme="majorHAnsi" w:cstheme="majorHAnsi"/>
                <w:bCs/>
                <w:sz w:val="22"/>
                <w:szCs w:val="22"/>
              </w:rPr>
            </w:pPr>
            <w:r w:rsidRPr="00062652">
              <w:rPr>
                <w:rFonts w:asciiTheme="majorHAnsi" w:eastAsia="Times New Roman" w:hAnsiTheme="majorHAnsi" w:cstheme="majorHAnsi"/>
                <w:bCs/>
                <w:sz w:val="22"/>
                <w:szCs w:val="22"/>
              </w:rPr>
              <w:t>Number of students using our services increased in the 2018-2019 academic year and with that increase the percentage of students earning passing grades also increased in tutoring.  Grade point averages for students attending coaching appointments also increased for this period.  What we did find is that the students who attended six or more SI sessions had a decrease in the grade point difference from 2017-2018 to 2018-2019, but as we looked closer at our data, students who attended ten or more SI sessions showed the higher GPA difference.  We will continue to follow this to see if it becomes a trend.</w:t>
            </w:r>
          </w:p>
          <w:p w:rsidR="000E777A" w:rsidRPr="00062652" w:rsidRDefault="000E777A" w:rsidP="00177DA9">
            <w:pPr>
              <w:outlineLvl w:val="3"/>
              <w:rPr>
                <w:rFonts w:asciiTheme="majorHAnsi" w:eastAsia="Times New Roman" w:hAnsiTheme="majorHAnsi" w:cstheme="majorHAnsi"/>
                <w:bCs/>
                <w:color w:val="000000" w:themeColor="text1"/>
                <w:sz w:val="22"/>
                <w:szCs w:val="22"/>
              </w:rPr>
            </w:pPr>
          </w:p>
        </w:tc>
      </w:tr>
    </w:tbl>
    <w:p w:rsidR="00376E9F" w:rsidRPr="00062652" w:rsidRDefault="00376E9F" w:rsidP="003D5D99">
      <w:pPr>
        <w:outlineLvl w:val="3"/>
        <w:rPr>
          <w:rFonts w:asciiTheme="majorHAnsi" w:eastAsia="Times New Roman" w:hAnsiTheme="majorHAnsi" w:cstheme="majorHAnsi"/>
          <w:b/>
          <w:bCs/>
          <w:color w:val="000000" w:themeColor="text1"/>
          <w:sz w:val="22"/>
          <w:szCs w:val="22"/>
        </w:rPr>
      </w:pPr>
    </w:p>
    <w:tbl>
      <w:tblPr>
        <w:tblStyle w:val="TableGrid"/>
        <w:tblW w:w="0" w:type="auto"/>
        <w:tblLook w:val="04A0" w:firstRow="1" w:lastRow="0" w:firstColumn="1" w:lastColumn="0" w:noHBand="0" w:noVBand="1"/>
      </w:tblPr>
      <w:tblGrid>
        <w:gridCol w:w="2245"/>
        <w:gridCol w:w="7105"/>
      </w:tblGrid>
      <w:tr w:rsidR="00B32CCD" w:rsidRPr="00062652" w:rsidTr="00B32CCD">
        <w:tc>
          <w:tcPr>
            <w:tcW w:w="2245" w:type="dxa"/>
          </w:tcPr>
          <w:p w:rsidR="00B32CCD" w:rsidRPr="00062652" w:rsidRDefault="00925146"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C00000"/>
                <w:sz w:val="22"/>
                <w:szCs w:val="22"/>
              </w:rPr>
              <w:t>High-impact strategy 2</w:t>
            </w:r>
          </w:p>
        </w:tc>
        <w:tc>
          <w:tcPr>
            <w:tcW w:w="7105" w:type="dxa"/>
          </w:tcPr>
          <w:p w:rsidR="00B32CCD" w:rsidRPr="00062652" w:rsidRDefault="0059017E" w:rsidP="0059017E">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iCs/>
                <w:color w:val="C00000"/>
                <w:sz w:val="22"/>
                <w:szCs w:val="22"/>
              </w:rPr>
              <w:t xml:space="preserve">INTRUSIVE ADVISING. </w:t>
            </w:r>
            <w:r w:rsidR="00B32CCD" w:rsidRPr="00062652">
              <w:rPr>
                <w:rFonts w:asciiTheme="majorHAnsi" w:hAnsiTheme="majorHAnsi" w:cstheme="majorHAnsi"/>
                <w:iCs/>
                <w:color w:val="C00000"/>
                <w:sz w:val="22"/>
                <w:szCs w:val="22"/>
              </w:rPr>
              <w:t>Identify at-risk student populations and use intrusive advising strategies to assist them.</w:t>
            </w:r>
          </w:p>
        </w:tc>
      </w:tr>
      <w:tr w:rsidR="00B32CCD" w:rsidRPr="00062652" w:rsidTr="00B32CCD">
        <w:tc>
          <w:tcPr>
            <w:tcW w:w="2245" w:type="dxa"/>
          </w:tcPr>
          <w:p w:rsidR="00B32CCD" w:rsidRPr="00062652" w:rsidRDefault="00B32CCD"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Related Goal</w:t>
            </w:r>
          </w:p>
        </w:tc>
        <w:tc>
          <w:tcPr>
            <w:tcW w:w="7105" w:type="dxa"/>
          </w:tcPr>
          <w:p w:rsidR="00B32CCD" w:rsidRPr="00062652" w:rsidRDefault="00B32CCD" w:rsidP="00F46FEA">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iCs/>
                <w:color w:val="000000" w:themeColor="text1"/>
                <w:sz w:val="22"/>
                <w:szCs w:val="22"/>
              </w:rPr>
              <w:t>CCG GOAL 4.  Provide int</w:t>
            </w:r>
            <w:r w:rsidR="00F46FEA" w:rsidRPr="00062652">
              <w:rPr>
                <w:rFonts w:asciiTheme="majorHAnsi" w:hAnsiTheme="majorHAnsi" w:cstheme="majorHAnsi"/>
                <w:iCs/>
                <w:color w:val="000000" w:themeColor="text1"/>
                <w:sz w:val="22"/>
                <w:szCs w:val="22"/>
              </w:rPr>
              <w:t xml:space="preserve">rusive </w:t>
            </w:r>
            <w:r w:rsidRPr="00062652">
              <w:rPr>
                <w:rFonts w:asciiTheme="majorHAnsi" w:hAnsiTheme="majorHAnsi" w:cstheme="majorHAnsi"/>
                <w:iCs/>
                <w:color w:val="000000" w:themeColor="text1"/>
                <w:sz w:val="22"/>
                <w:szCs w:val="22"/>
              </w:rPr>
              <w:t>advising to keep students on track to graduate.</w:t>
            </w:r>
          </w:p>
        </w:tc>
      </w:tr>
      <w:tr w:rsidR="00B32CCD" w:rsidRPr="00062652" w:rsidTr="00B32CCD">
        <w:tc>
          <w:tcPr>
            <w:tcW w:w="2245" w:type="dxa"/>
          </w:tcPr>
          <w:p w:rsidR="00B32CCD" w:rsidRPr="00062652" w:rsidRDefault="00B32CCD"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Demonstration of Priority and/or Impact</w:t>
            </w:r>
          </w:p>
        </w:tc>
        <w:tc>
          <w:tcPr>
            <w:tcW w:w="7105" w:type="dxa"/>
          </w:tcPr>
          <w:p w:rsidR="00B32CCD" w:rsidRPr="00062652" w:rsidRDefault="00B32CCD" w:rsidP="002F7B49">
            <w:pPr>
              <w:rPr>
                <w:rFonts w:asciiTheme="majorHAnsi" w:hAnsiTheme="majorHAnsi" w:cstheme="majorHAnsi"/>
                <w:iCs/>
                <w:sz w:val="22"/>
                <w:szCs w:val="22"/>
              </w:rPr>
            </w:pPr>
            <w:r w:rsidRPr="00062652">
              <w:rPr>
                <w:rFonts w:asciiTheme="majorHAnsi" w:hAnsiTheme="majorHAnsi" w:cstheme="majorHAnsi"/>
                <w:iCs/>
                <w:sz w:val="22"/>
                <w:szCs w:val="22"/>
              </w:rPr>
              <w:t>This high priority strategy is aligned with two of UWG’s Student Success strategic imperative goals:</w:t>
            </w:r>
          </w:p>
          <w:p w:rsidR="00B32CCD" w:rsidRPr="00062652" w:rsidRDefault="00B32CCD" w:rsidP="00766533">
            <w:pPr>
              <w:pStyle w:val="ListParagraph"/>
              <w:numPr>
                <w:ilvl w:val="0"/>
                <w:numId w:val="25"/>
              </w:numPr>
              <w:rPr>
                <w:rFonts w:asciiTheme="majorHAnsi" w:hAnsiTheme="majorHAnsi" w:cstheme="majorHAnsi"/>
                <w:iCs/>
                <w:sz w:val="22"/>
                <w:szCs w:val="22"/>
              </w:rPr>
            </w:pPr>
            <w:r w:rsidRPr="00062652">
              <w:rPr>
                <w:rFonts w:asciiTheme="majorHAnsi" w:hAnsiTheme="majorHAnsi" w:cstheme="majorHAnsi"/>
                <w:iCs/>
                <w:sz w:val="22"/>
                <w:szCs w:val="22"/>
                <w:u w:val="single"/>
              </w:rPr>
              <w:t>Goal A</w:t>
            </w:r>
            <w:r w:rsidRPr="00062652">
              <w:rPr>
                <w:rFonts w:asciiTheme="majorHAnsi" w:hAnsiTheme="majorHAnsi" w:cstheme="majorHAnsi"/>
                <w:iCs/>
                <w:sz w:val="22"/>
                <w:szCs w:val="22"/>
              </w:rPr>
              <w:t>.  Increase student persistence and timely progression to degree attainment.</w:t>
            </w:r>
            <w:r w:rsidR="009C209D" w:rsidRPr="00062652">
              <w:rPr>
                <w:rFonts w:asciiTheme="majorHAnsi" w:hAnsiTheme="majorHAnsi" w:cstheme="majorHAnsi"/>
                <w:iCs/>
                <w:sz w:val="22"/>
                <w:szCs w:val="22"/>
              </w:rPr>
              <w:t xml:space="preserve"> See Tables 1, 2, 3, and 4 in the Appendix.</w:t>
            </w:r>
          </w:p>
          <w:p w:rsidR="00B32CCD" w:rsidRPr="00062652" w:rsidRDefault="00B32CCD" w:rsidP="00766533">
            <w:pPr>
              <w:pStyle w:val="ListParagraph"/>
              <w:numPr>
                <w:ilvl w:val="0"/>
                <w:numId w:val="25"/>
              </w:numPr>
              <w:rPr>
                <w:rFonts w:asciiTheme="majorHAnsi" w:hAnsiTheme="majorHAnsi" w:cstheme="majorHAnsi"/>
                <w:iCs/>
                <w:sz w:val="22"/>
                <w:szCs w:val="22"/>
              </w:rPr>
            </w:pPr>
            <w:r w:rsidRPr="00062652">
              <w:rPr>
                <w:rFonts w:asciiTheme="majorHAnsi" w:hAnsiTheme="majorHAnsi" w:cstheme="majorHAnsi"/>
                <w:iCs/>
                <w:sz w:val="22"/>
                <w:szCs w:val="22"/>
                <w:u w:val="single"/>
              </w:rPr>
              <w:t>Goal D, Action 1</w:t>
            </w:r>
            <w:r w:rsidRPr="00062652">
              <w:rPr>
                <w:rFonts w:asciiTheme="majorHAnsi" w:hAnsiTheme="majorHAnsi" w:cstheme="majorHAnsi"/>
                <w:iCs/>
                <w:sz w:val="22"/>
                <w:szCs w:val="22"/>
              </w:rPr>
              <w:t xml:space="preserve">:  Provide quality academic advising experiences with emphasis on effective academic planning, early identification of a major for undergraduates, and a clear pathway to student accountability and self-sufficiency.  </w:t>
            </w:r>
          </w:p>
          <w:p w:rsidR="00B32CCD" w:rsidRPr="00062652" w:rsidRDefault="00B32CCD" w:rsidP="003D5D99">
            <w:pPr>
              <w:outlineLvl w:val="3"/>
              <w:rPr>
                <w:rFonts w:asciiTheme="majorHAnsi" w:hAnsiTheme="majorHAnsi" w:cstheme="majorHAnsi"/>
                <w:iCs/>
                <w:sz w:val="22"/>
                <w:szCs w:val="22"/>
              </w:rPr>
            </w:pPr>
          </w:p>
          <w:p w:rsidR="00B32CCD" w:rsidRPr="00062652" w:rsidRDefault="00B32CCD" w:rsidP="00291C93">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iCs/>
                <w:sz w:val="22"/>
                <w:szCs w:val="22"/>
              </w:rPr>
              <w:t xml:space="preserve">Our partnership with the Education Advisory Board through the SSC-Campus academic advising system supports progress with this goal, as the technology gives advisors critical information </w:t>
            </w:r>
            <w:r w:rsidR="000609F8" w:rsidRPr="00062652">
              <w:rPr>
                <w:rFonts w:asciiTheme="majorHAnsi" w:hAnsiTheme="majorHAnsi" w:cstheme="majorHAnsi"/>
                <w:iCs/>
                <w:sz w:val="22"/>
                <w:szCs w:val="22"/>
              </w:rPr>
              <w:t>to help</w:t>
            </w:r>
            <w:r w:rsidRPr="00062652">
              <w:rPr>
                <w:rFonts w:asciiTheme="majorHAnsi" w:hAnsiTheme="majorHAnsi" w:cstheme="majorHAnsi"/>
                <w:iCs/>
                <w:sz w:val="22"/>
                <w:szCs w:val="22"/>
              </w:rPr>
              <w:t xml:space="preserve"> </w:t>
            </w:r>
            <w:r w:rsidR="00291C93" w:rsidRPr="00062652">
              <w:rPr>
                <w:rFonts w:asciiTheme="majorHAnsi" w:hAnsiTheme="majorHAnsi" w:cstheme="majorHAnsi"/>
                <w:iCs/>
                <w:sz w:val="22"/>
                <w:szCs w:val="22"/>
              </w:rPr>
              <w:t xml:space="preserve">students </w:t>
            </w:r>
            <w:r w:rsidRPr="00062652">
              <w:rPr>
                <w:rFonts w:asciiTheme="majorHAnsi" w:hAnsiTheme="majorHAnsi" w:cstheme="majorHAnsi"/>
                <w:iCs/>
                <w:sz w:val="22"/>
                <w:szCs w:val="22"/>
              </w:rPr>
              <w:t>exactly when they need it.</w:t>
            </w:r>
          </w:p>
        </w:tc>
      </w:tr>
      <w:tr w:rsidR="00B32CCD" w:rsidRPr="00062652" w:rsidTr="00B32CCD">
        <w:tc>
          <w:tcPr>
            <w:tcW w:w="2245" w:type="dxa"/>
          </w:tcPr>
          <w:p w:rsidR="00B32CCD" w:rsidRPr="00062652" w:rsidRDefault="00B32CCD"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Primary Point of Contact</w:t>
            </w:r>
          </w:p>
        </w:tc>
        <w:tc>
          <w:tcPr>
            <w:tcW w:w="7105" w:type="dxa"/>
          </w:tcPr>
          <w:p w:rsidR="00B32CCD" w:rsidRPr="00062652" w:rsidRDefault="00F14301" w:rsidP="00F14301">
            <w:pPr>
              <w:rPr>
                <w:rFonts w:asciiTheme="majorHAnsi" w:hAnsiTheme="majorHAnsi" w:cstheme="majorHAnsi"/>
                <w:iCs/>
                <w:color w:val="000000" w:themeColor="text1"/>
                <w:sz w:val="22"/>
                <w:szCs w:val="22"/>
              </w:rPr>
            </w:pPr>
            <w:r w:rsidRPr="00062652">
              <w:rPr>
                <w:rFonts w:asciiTheme="majorHAnsi" w:hAnsiTheme="majorHAnsi" w:cstheme="majorHAnsi"/>
                <w:iCs/>
                <w:color w:val="333333"/>
                <w:sz w:val="22"/>
                <w:szCs w:val="22"/>
              </w:rPr>
              <w:t xml:space="preserve">Ms. Carrie Ziglar, Director, Center for Academic Success and Interim </w:t>
            </w:r>
            <w:r w:rsidRPr="00062652">
              <w:rPr>
                <w:rFonts w:asciiTheme="majorHAnsi" w:hAnsiTheme="majorHAnsi" w:cstheme="majorHAnsi"/>
                <w:iCs/>
                <w:color w:val="000000" w:themeColor="text1"/>
                <w:sz w:val="22"/>
                <w:szCs w:val="22"/>
              </w:rPr>
              <w:t xml:space="preserve">Director of the Advising Center, </w:t>
            </w:r>
            <w:r w:rsidRPr="00062652">
              <w:t xml:space="preserve"> </w:t>
            </w:r>
            <w:hyperlink r:id="rId9" w:history="1">
              <w:r w:rsidRPr="00062652">
                <w:rPr>
                  <w:rStyle w:val="Hyperlink"/>
                  <w:rFonts w:asciiTheme="majorHAnsi" w:hAnsiTheme="majorHAnsi" w:cstheme="majorHAnsi"/>
                  <w:iCs/>
                  <w:sz w:val="22"/>
                  <w:szCs w:val="22"/>
                </w:rPr>
                <w:t>cziglar@westga.edu</w:t>
              </w:r>
            </w:hyperlink>
          </w:p>
        </w:tc>
      </w:tr>
      <w:tr w:rsidR="00B32CCD" w:rsidRPr="00062652" w:rsidTr="00B32CCD">
        <w:tc>
          <w:tcPr>
            <w:tcW w:w="2245" w:type="dxa"/>
          </w:tcPr>
          <w:p w:rsidR="00B32CCD" w:rsidRPr="00062652" w:rsidRDefault="00B32CCD"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Summary of Activities</w:t>
            </w:r>
          </w:p>
        </w:tc>
        <w:tc>
          <w:tcPr>
            <w:tcW w:w="7105" w:type="dxa"/>
          </w:tcPr>
          <w:p w:rsidR="00E933D1" w:rsidRPr="00062652" w:rsidRDefault="00E933D1" w:rsidP="002F7B49">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 xml:space="preserve">We first implemented these activities in 2016-2017. We </w:t>
            </w:r>
            <w:r w:rsidR="00AB1515" w:rsidRPr="00062652">
              <w:rPr>
                <w:rFonts w:asciiTheme="majorHAnsi" w:hAnsiTheme="majorHAnsi" w:cstheme="majorHAnsi"/>
                <w:iCs/>
                <w:color w:val="000000" w:themeColor="text1"/>
                <w:sz w:val="22"/>
                <w:szCs w:val="22"/>
              </w:rPr>
              <w:t>repeated</w:t>
            </w:r>
            <w:r w:rsidRPr="00062652">
              <w:rPr>
                <w:rFonts w:asciiTheme="majorHAnsi" w:hAnsiTheme="majorHAnsi" w:cstheme="majorHAnsi"/>
                <w:iCs/>
                <w:color w:val="000000" w:themeColor="text1"/>
                <w:sz w:val="22"/>
                <w:szCs w:val="22"/>
              </w:rPr>
              <w:t xml:space="preserve"> the same activities with our 2017-2018 </w:t>
            </w:r>
            <w:r w:rsidR="00F14301" w:rsidRPr="00062652">
              <w:rPr>
                <w:rFonts w:asciiTheme="majorHAnsi" w:hAnsiTheme="majorHAnsi" w:cstheme="majorHAnsi"/>
                <w:iCs/>
                <w:color w:val="000000" w:themeColor="text1"/>
                <w:sz w:val="22"/>
                <w:szCs w:val="22"/>
              </w:rPr>
              <w:t xml:space="preserve">and 2018-2019 </w:t>
            </w:r>
            <w:r w:rsidRPr="00062652">
              <w:rPr>
                <w:rFonts w:asciiTheme="majorHAnsi" w:hAnsiTheme="majorHAnsi" w:cstheme="majorHAnsi"/>
                <w:iCs/>
                <w:color w:val="000000" w:themeColor="text1"/>
                <w:sz w:val="22"/>
                <w:szCs w:val="22"/>
              </w:rPr>
              <w:t>freshman cohort</w:t>
            </w:r>
            <w:r w:rsidR="00F14301" w:rsidRPr="00062652">
              <w:rPr>
                <w:rFonts w:asciiTheme="majorHAnsi" w:hAnsiTheme="majorHAnsi" w:cstheme="majorHAnsi"/>
                <w:iCs/>
                <w:color w:val="000000" w:themeColor="text1"/>
                <w:sz w:val="22"/>
                <w:szCs w:val="22"/>
              </w:rPr>
              <w:t>s</w:t>
            </w:r>
            <w:r w:rsidRPr="00062652">
              <w:rPr>
                <w:rFonts w:asciiTheme="majorHAnsi" w:hAnsiTheme="majorHAnsi" w:cstheme="majorHAnsi"/>
                <w:iCs/>
                <w:color w:val="000000" w:themeColor="text1"/>
                <w:sz w:val="22"/>
                <w:szCs w:val="22"/>
              </w:rPr>
              <w:t xml:space="preserve">. </w:t>
            </w:r>
          </w:p>
          <w:p w:rsidR="00E933D1" w:rsidRPr="00062652" w:rsidRDefault="00E933D1" w:rsidP="002F7B49">
            <w:pPr>
              <w:rPr>
                <w:rFonts w:asciiTheme="majorHAnsi" w:hAnsiTheme="majorHAnsi" w:cstheme="majorHAnsi"/>
                <w:iCs/>
                <w:color w:val="000000" w:themeColor="text1"/>
                <w:sz w:val="22"/>
                <w:szCs w:val="22"/>
              </w:rPr>
            </w:pPr>
          </w:p>
          <w:p w:rsidR="00B32CCD" w:rsidRPr="00062652" w:rsidRDefault="00B32CCD" w:rsidP="002F7B49">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 xml:space="preserve">Group </w:t>
            </w:r>
            <w:r w:rsidR="00B34BFA" w:rsidRPr="00062652">
              <w:rPr>
                <w:rFonts w:asciiTheme="majorHAnsi" w:hAnsiTheme="majorHAnsi" w:cstheme="majorHAnsi"/>
                <w:iCs/>
                <w:color w:val="000000" w:themeColor="text1"/>
                <w:sz w:val="22"/>
                <w:szCs w:val="22"/>
              </w:rPr>
              <w:t>1 (Students admitted on appeal):</w:t>
            </w:r>
            <w:r w:rsidRPr="00062652">
              <w:rPr>
                <w:rFonts w:asciiTheme="majorHAnsi" w:hAnsiTheme="majorHAnsi" w:cstheme="majorHAnsi"/>
                <w:iCs/>
                <w:color w:val="000000" w:themeColor="text1"/>
                <w:sz w:val="22"/>
                <w:szCs w:val="22"/>
              </w:rPr>
              <w:t xml:space="preserve"> In </w:t>
            </w:r>
            <w:r w:rsidR="00CA2DBC" w:rsidRPr="00062652">
              <w:rPr>
                <w:rFonts w:asciiTheme="majorHAnsi" w:hAnsiTheme="majorHAnsi" w:cstheme="majorHAnsi"/>
                <w:iCs/>
                <w:color w:val="000000" w:themeColor="text1"/>
                <w:sz w:val="22"/>
                <w:szCs w:val="22"/>
              </w:rPr>
              <w:t xml:space="preserve">early </w:t>
            </w:r>
            <w:r w:rsidRPr="00062652">
              <w:rPr>
                <w:rFonts w:asciiTheme="majorHAnsi" w:hAnsiTheme="majorHAnsi" w:cstheme="majorHAnsi"/>
                <w:iCs/>
                <w:color w:val="000000" w:themeColor="text1"/>
                <w:sz w:val="22"/>
                <w:szCs w:val="22"/>
              </w:rPr>
              <w:t>Fall, UWG contacted all students who were admitted to UWG via the appeal process.  These students received an email communication from the Admissions offices directing them to go to the Center for Academic Success for academic assistance.</w:t>
            </w:r>
          </w:p>
          <w:p w:rsidR="00B32CCD" w:rsidRPr="00062652" w:rsidRDefault="00B32CCD" w:rsidP="002F7B49">
            <w:pPr>
              <w:rPr>
                <w:rFonts w:asciiTheme="majorHAnsi" w:hAnsiTheme="majorHAnsi" w:cstheme="majorHAnsi"/>
                <w:iCs/>
                <w:color w:val="000000" w:themeColor="text1"/>
                <w:sz w:val="22"/>
                <w:szCs w:val="22"/>
              </w:rPr>
            </w:pPr>
          </w:p>
          <w:p w:rsidR="00B32CCD" w:rsidRPr="00062652" w:rsidRDefault="00B32CCD" w:rsidP="00350A93">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iCs/>
                <w:color w:val="000000" w:themeColor="text1"/>
                <w:sz w:val="22"/>
                <w:szCs w:val="22"/>
              </w:rPr>
              <w:t>Group 2 (Students with low, but r</w:t>
            </w:r>
            <w:r w:rsidR="00B34BFA" w:rsidRPr="00062652">
              <w:rPr>
                <w:rFonts w:asciiTheme="majorHAnsi" w:hAnsiTheme="majorHAnsi" w:cstheme="majorHAnsi"/>
                <w:iCs/>
                <w:color w:val="000000" w:themeColor="text1"/>
                <w:sz w:val="22"/>
                <w:szCs w:val="22"/>
              </w:rPr>
              <w:t>ecoverable first semester GPAs):</w:t>
            </w:r>
            <w:r w:rsidRPr="00062652">
              <w:rPr>
                <w:rFonts w:asciiTheme="majorHAnsi" w:hAnsiTheme="majorHAnsi" w:cstheme="majorHAnsi"/>
                <w:iCs/>
                <w:color w:val="000000" w:themeColor="text1"/>
                <w:sz w:val="22"/>
                <w:szCs w:val="22"/>
              </w:rPr>
              <w:t xml:space="preserve"> At the end of the Fall term, first-semester students with a term GPA between 1.75 </w:t>
            </w:r>
            <w:r w:rsidR="00EA3709" w:rsidRPr="00062652">
              <w:rPr>
                <w:rFonts w:asciiTheme="majorHAnsi" w:hAnsiTheme="majorHAnsi" w:cstheme="majorHAnsi"/>
                <w:iCs/>
                <w:color w:val="000000" w:themeColor="text1"/>
                <w:sz w:val="22"/>
                <w:szCs w:val="22"/>
              </w:rPr>
              <w:t>and</w:t>
            </w:r>
            <w:r w:rsidRPr="00062652">
              <w:rPr>
                <w:rFonts w:asciiTheme="majorHAnsi" w:hAnsiTheme="majorHAnsi" w:cstheme="majorHAnsi"/>
                <w:iCs/>
                <w:color w:val="000000" w:themeColor="text1"/>
                <w:sz w:val="22"/>
                <w:szCs w:val="22"/>
              </w:rPr>
              <w:t xml:space="preserve"> 1.99 were identified and received email, phone, and text communication</w:t>
            </w:r>
            <w:r w:rsidR="004A12D6" w:rsidRPr="00062652">
              <w:rPr>
                <w:rFonts w:asciiTheme="majorHAnsi" w:hAnsiTheme="majorHAnsi" w:cstheme="majorHAnsi"/>
                <w:iCs/>
                <w:color w:val="000000" w:themeColor="text1"/>
                <w:sz w:val="22"/>
                <w:szCs w:val="22"/>
              </w:rPr>
              <w:t>s</w:t>
            </w:r>
            <w:r w:rsidRPr="00062652">
              <w:rPr>
                <w:rFonts w:asciiTheme="majorHAnsi" w:hAnsiTheme="majorHAnsi" w:cstheme="majorHAnsi"/>
                <w:iCs/>
                <w:color w:val="000000" w:themeColor="text1"/>
                <w:sz w:val="22"/>
                <w:szCs w:val="22"/>
              </w:rPr>
              <w:t xml:space="preserve"> and encouragement from their advisors </w:t>
            </w:r>
            <w:r w:rsidR="00350A93" w:rsidRPr="00062652">
              <w:rPr>
                <w:rFonts w:asciiTheme="majorHAnsi" w:hAnsiTheme="majorHAnsi" w:cstheme="majorHAnsi"/>
                <w:iCs/>
                <w:color w:val="000000" w:themeColor="text1"/>
                <w:sz w:val="22"/>
                <w:szCs w:val="22"/>
              </w:rPr>
              <w:t xml:space="preserve">to take advantage of </w:t>
            </w:r>
            <w:r w:rsidRPr="00062652">
              <w:rPr>
                <w:rFonts w:asciiTheme="majorHAnsi" w:hAnsiTheme="majorHAnsi" w:cstheme="majorHAnsi"/>
                <w:iCs/>
                <w:color w:val="000000" w:themeColor="text1"/>
                <w:sz w:val="22"/>
                <w:szCs w:val="22"/>
              </w:rPr>
              <w:t>academic support and other campus resources.  Students also received a post card at home over the winter break informing them about CAS and academic support programs. Advisors followed up with the students throughout the Spring semester.</w:t>
            </w:r>
          </w:p>
        </w:tc>
      </w:tr>
      <w:tr w:rsidR="00151EF8" w:rsidRPr="00062652" w:rsidTr="002F7B49">
        <w:tc>
          <w:tcPr>
            <w:tcW w:w="9350" w:type="dxa"/>
            <w:gridSpan w:val="2"/>
          </w:tcPr>
          <w:p w:rsidR="00151EF8" w:rsidRPr="00062652" w:rsidRDefault="00151EF8"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Measures of Progress and Success</w:t>
            </w:r>
          </w:p>
        </w:tc>
      </w:tr>
      <w:tr w:rsidR="00B32CCD" w:rsidRPr="00062652" w:rsidTr="00B32CCD">
        <w:tc>
          <w:tcPr>
            <w:tcW w:w="2245" w:type="dxa"/>
          </w:tcPr>
          <w:p w:rsidR="00B32CCD" w:rsidRPr="00062652" w:rsidRDefault="00B32CCD"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Measure, metric, or data element</w:t>
            </w:r>
          </w:p>
        </w:tc>
        <w:tc>
          <w:tcPr>
            <w:tcW w:w="7105" w:type="dxa"/>
          </w:tcPr>
          <w:p w:rsidR="00B32CCD" w:rsidRPr="00062652" w:rsidRDefault="00B32CCD" w:rsidP="002F7B49">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 xml:space="preserve">Group </w:t>
            </w:r>
            <w:r w:rsidR="00B34BFA" w:rsidRPr="00062652">
              <w:rPr>
                <w:rFonts w:asciiTheme="majorHAnsi" w:hAnsiTheme="majorHAnsi" w:cstheme="majorHAnsi"/>
                <w:iCs/>
                <w:color w:val="000000" w:themeColor="text1"/>
                <w:sz w:val="22"/>
                <w:szCs w:val="22"/>
              </w:rPr>
              <w:t>1 (Students admitted on appeal)</w:t>
            </w:r>
          </w:p>
          <w:p w:rsidR="00B32CCD" w:rsidRPr="00062652" w:rsidRDefault="00B32CCD" w:rsidP="002F7B49">
            <w:pPr>
              <w:pStyle w:val="ListParagraph"/>
              <w:numPr>
                <w:ilvl w:val="0"/>
                <w:numId w:val="18"/>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Number and percentage of students admitted on appeal who used the CAS services</w:t>
            </w:r>
          </w:p>
          <w:p w:rsidR="00B32CCD" w:rsidRPr="00062652" w:rsidRDefault="00B32CCD" w:rsidP="002F7B49">
            <w:pPr>
              <w:pStyle w:val="ListParagraph"/>
              <w:numPr>
                <w:ilvl w:val="0"/>
                <w:numId w:val="18"/>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 xml:space="preserve">Term GPAs   </w:t>
            </w:r>
          </w:p>
          <w:p w:rsidR="00B32CCD" w:rsidRPr="00062652" w:rsidRDefault="00B32CCD" w:rsidP="002F7B49">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Group 2 (Students with low, but recoverable first term GPAs)</w:t>
            </w:r>
          </w:p>
          <w:p w:rsidR="00B32CCD" w:rsidRPr="00062652" w:rsidRDefault="00B32CCD" w:rsidP="00B32CCD">
            <w:pPr>
              <w:pStyle w:val="ListParagraph"/>
              <w:numPr>
                <w:ilvl w:val="0"/>
                <w:numId w:val="18"/>
              </w:num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Number of first-semester students with a GPA between 1.75 and 1.99</w:t>
            </w:r>
          </w:p>
          <w:p w:rsidR="00B32CCD" w:rsidRDefault="00B32CCD" w:rsidP="00B32CCD">
            <w:pPr>
              <w:pStyle w:val="ListParagraph"/>
              <w:numPr>
                <w:ilvl w:val="0"/>
                <w:numId w:val="18"/>
              </w:num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Cumula</w:t>
            </w:r>
            <w:r w:rsidR="0092666A">
              <w:rPr>
                <w:rFonts w:asciiTheme="majorHAnsi" w:hAnsiTheme="majorHAnsi" w:cstheme="majorHAnsi"/>
                <w:iCs/>
                <w:color w:val="000000" w:themeColor="text1"/>
                <w:sz w:val="22"/>
                <w:szCs w:val="22"/>
              </w:rPr>
              <w:t>tive GPAs (entire freshman year)</w:t>
            </w:r>
          </w:p>
          <w:p w:rsidR="0092666A" w:rsidRPr="00062652" w:rsidRDefault="0092666A" w:rsidP="00B32CCD">
            <w:pPr>
              <w:pStyle w:val="ListParagraph"/>
              <w:numPr>
                <w:ilvl w:val="0"/>
                <w:numId w:val="18"/>
              </w:numPr>
              <w:rPr>
                <w:rFonts w:asciiTheme="majorHAnsi" w:hAnsiTheme="majorHAnsi" w:cstheme="majorHAnsi"/>
                <w:iCs/>
                <w:color w:val="000000" w:themeColor="text1"/>
                <w:sz w:val="22"/>
                <w:szCs w:val="22"/>
              </w:rPr>
            </w:pPr>
          </w:p>
        </w:tc>
      </w:tr>
      <w:tr w:rsidR="00530BBB" w:rsidRPr="00062652" w:rsidTr="00B32CCD">
        <w:tc>
          <w:tcPr>
            <w:tcW w:w="2245" w:type="dxa"/>
          </w:tcPr>
          <w:p w:rsidR="00530BBB" w:rsidRPr="00062652" w:rsidRDefault="00530BBB" w:rsidP="003D5D99">
            <w:pPr>
              <w:outlineLvl w:val="3"/>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lastRenderedPageBreak/>
              <w:t>Baseline measures</w:t>
            </w:r>
          </w:p>
          <w:p w:rsidR="00AB1515" w:rsidRPr="00062652" w:rsidRDefault="00AB1515"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2016-2017</w:t>
            </w:r>
          </w:p>
        </w:tc>
        <w:tc>
          <w:tcPr>
            <w:tcW w:w="7105" w:type="dxa"/>
          </w:tcPr>
          <w:p w:rsidR="00530BBB" w:rsidRPr="00062652" w:rsidRDefault="00B61764" w:rsidP="002F7B49">
            <w:pPr>
              <w:pStyle w:val="ListParagraph"/>
              <w:ind w:left="0"/>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In the 2016-2017 Academic Year</w:t>
            </w:r>
          </w:p>
          <w:p w:rsidR="00530BBB" w:rsidRPr="00062652" w:rsidRDefault="00530BBB" w:rsidP="002F7B49">
            <w:pPr>
              <w:pStyle w:val="ListParagraph"/>
              <w:ind w:left="0"/>
              <w:contextualSpacing w:val="0"/>
              <w:rPr>
                <w:rFonts w:asciiTheme="majorHAnsi" w:hAnsiTheme="majorHAnsi" w:cstheme="majorHAnsi"/>
                <w:color w:val="000000" w:themeColor="text1"/>
                <w:sz w:val="22"/>
                <w:szCs w:val="22"/>
              </w:rPr>
            </w:pPr>
          </w:p>
          <w:p w:rsidR="00530BBB" w:rsidRPr="00062652" w:rsidRDefault="00530BBB" w:rsidP="002F7B49">
            <w:pPr>
              <w:pStyle w:val="ListParagraph"/>
              <w:ind w:left="0"/>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Group 1 (Students </w:t>
            </w:r>
            <w:r w:rsidR="00B34BFA" w:rsidRPr="00062652">
              <w:rPr>
                <w:rFonts w:asciiTheme="majorHAnsi" w:hAnsiTheme="majorHAnsi" w:cstheme="majorHAnsi"/>
                <w:color w:val="000000" w:themeColor="text1"/>
                <w:sz w:val="22"/>
                <w:szCs w:val="22"/>
              </w:rPr>
              <w:t>a</w:t>
            </w:r>
            <w:r w:rsidRPr="00062652">
              <w:rPr>
                <w:rFonts w:asciiTheme="majorHAnsi" w:hAnsiTheme="majorHAnsi" w:cstheme="majorHAnsi"/>
                <w:color w:val="000000" w:themeColor="text1"/>
                <w:sz w:val="22"/>
                <w:szCs w:val="22"/>
              </w:rPr>
              <w:t xml:space="preserve">dmitted on </w:t>
            </w:r>
            <w:r w:rsidR="00B34BFA" w:rsidRPr="00062652">
              <w:rPr>
                <w:rFonts w:asciiTheme="majorHAnsi" w:hAnsiTheme="majorHAnsi" w:cstheme="majorHAnsi"/>
                <w:color w:val="000000" w:themeColor="text1"/>
                <w:sz w:val="22"/>
                <w:szCs w:val="22"/>
              </w:rPr>
              <w:t>a</w:t>
            </w:r>
            <w:r w:rsidRPr="00062652">
              <w:rPr>
                <w:rFonts w:asciiTheme="majorHAnsi" w:hAnsiTheme="majorHAnsi" w:cstheme="majorHAnsi"/>
                <w:color w:val="000000" w:themeColor="text1"/>
                <w:sz w:val="22"/>
                <w:szCs w:val="22"/>
              </w:rPr>
              <w:t>ppeal). These data refer to Fall 2016 activities.</w:t>
            </w:r>
          </w:p>
          <w:p w:rsidR="00530BBB" w:rsidRPr="00062652" w:rsidRDefault="00530BBB" w:rsidP="002F7B49">
            <w:pPr>
              <w:pStyle w:val="ListParagraph"/>
              <w:numPr>
                <w:ilvl w:val="0"/>
                <w:numId w:val="17"/>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113 students were admitted via appeal and were directed to go to the CAS for assistance.  </w:t>
            </w:r>
          </w:p>
          <w:p w:rsidR="00530BBB" w:rsidRPr="00062652" w:rsidRDefault="00530BBB" w:rsidP="002F7B49">
            <w:pPr>
              <w:pStyle w:val="ListParagraph"/>
              <w:numPr>
                <w:ilvl w:val="0"/>
                <w:numId w:val="15"/>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79 of the 113 students (70%) used one or more CAS services such as </w:t>
            </w:r>
            <w:r w:rsidR="00B61764" w:rsidRPr="00062652">
              <w:rPr>
                <w:rFonts w:asciiTheme="majorHAnsi" w:hAnsiTheme="majorHAnsi" w:cstheme="majorHAnsi"/>
                <w:color w:val="000000" w:themeColor="text1"/>
                <w:sz w:val="22"/>
                <w:szCs w:val="22"/>
              </w:rPr>
              <w:t xml:space="preserve">tutoring, peer academic coaching, </w:t>
            </w:r>
            <w:r w:rsidRPr="00062652">
              <w:rPr>
                <w:rFonts w:asciiTheme="majorHAnsi" w:hAnsiTheme="majorHAnsi" w:cstheme="majorHAnsi"/>
                <w:color w:val="000000" w:themeColor="text1"/>
                <w:sz w:val="22"/>
                <w:szCs w:val="22"/>
              </w:rPr>
              <w:t>and supplemental instruction. This group’s average term GPA was 2.45, compared to 2.16 for students who used no CAS services.</w:t>
            </w:r>
          </w:p>
          <w:p w:rsidR="00530BBB" w:rsidRPr="00062652" w:rsidRDefault="00530BBB" w:rsidP="002F7B49">
            <w:pPr>
              <w:pStyle w:val="ListParagraph"/>
              <w:numPr>
                <w:ilvl w:val="0"/>
                <w:numId w:val="15"/>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9 of the 113 students (8%) visited the CAS ten or more times. Their average term GPA was 3.05.</w:t>
            </w:r>
          </w:p>
          <w:p w:rsidR="00B61764" w:rsidRPr="00062652" w:rsidRDefault="00B61764" w:rsidP="002F7B49">
            <w:pPr>
              <w:pStyle w:val="ListParagraph"/>
              <w:ind w:left="0"/>
              <w:contextualSpacing w:val="0"/>
              <w:rPr>
                <w:rFonts w:asciiTheme="majorHAnsi" w:hAnsiTheme="majorHAnsi" w:cstheme="majorHAnsi"/>
                <w:color w:val="000000" w:themeColor="text1"/>
                <w:sz w:val="22"/>
                <w:szCs w:val="22"/>
              </w:rPr>
            </w:pPr>
          </w:p>
          <w:p w:rsidR="00530BBB" w:rsidRPr="00062652" w:rsidRDefault="00530BBB" w:rsidP="002F7B49">
            <w:pPr>
              <w:pStyle w:val="ListParagraph"/>
              <w:ind w:left="0"/>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Group 2 (Students with low, but recoverable first term GPAs). These data refer to Spring 2017 activities.</w:t>
            </w:r>
          </w:p>
          <w:p w:rsidR="00530BBB" w:rsidRPr="00062652" w:rsidRDefault="00530BBB" w:rsidP="00530BBB">
            <w:pPr>
              <w:pStyle w:val="ListParagraph"/>
              <w:numPr>
                <w:ilvl w:val="0"/>
                <w:numId w:val="16"/>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93 first-semester students were identified as having a Fall 2016 term GPA between 1.75 and 1.99.</w:t>
            </w:r>
          </w:p>
          <w:p w:rsidR="00530BBB" w:rsidRPr="00062652" w:rsidRDefault="00530BBB" w:rsidP="00530BBB">
            <w:pPr>
              <w:pStyle w:val="ListParagraph"/>
              <w:numPr>
                <w:ilvl w:val="0"/>
                <w:numId w:val="16"/>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At the end of Spring 2017, 52% of these 93 students had earned a cumulative GPA above 2.0 (cumulative for entire first year, which means they kept their federal financial aid).</w:t>
            </w:r>
          </w:p>
        </w:tc>
      </w:tr>
      <w:tr w:rsidR="00A86168" w:rsidRPr="00062652" w:rsidTr="00B32CCD">
        <w:tc>
          <w:tcPr>
            <w:tcW w:w="2245" w:type="dxa"/>
          </w:tcPr>
          <w:p w:rsidR="00A86168" w:rsidRPr="00062652" w:rsidRDefault="00A86168" w:rsidP="003D5D99">
            <w:pPr>
              <w:outlineLvl w:val="3"/>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Interim Measures of Progress</w:t>
            </w:r>
          </w:p>
          <w:p w:rsidR="00AB1515" w:rsidRPr="00062652" w:rsidRDefault="00AB1515"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2017-2018</w:t>
            </w:r>
          </w:p>
        </w:tc>
        <w:tc>
          <w:tcPr>
            <w:tcW w:w="7105" w:type="dxa"/>
          </w:tcPr>
          <w:p w:rsidR="00AB1515" w:rsidRPr="00062652" w:rsidRDefault="00AB1515" w:rsidP="003D5D99">
            <w:p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In the 20</w:t>
            </w:r>
            <w:r w:rsidR="00B61764" w:rsidRPr="00062652">
              <w:rPr>
                <w:rFonts w:asciiTheme="majorHAnsi" w:eastAsia="Times New Roman" w:hAnsiTheme="majorHAnsi" w:cstheme="majorHAnsi"/>
                <w:bCs/>
                <w:color w:val="000000" w:themeColor="text1"/>
                <w:sz w:val="22"/>
                <w:szCs w:val="22"/>
              </w:rPr>
              <w:t>17-2018 Academic Year</w:t>
            </w:r>
          </w:p>
          <w:p w:rsidR="00AB1515" w:rsidRPr="00062652" w:rsidRDefault="00AB1515" w:rsidP="003D5D99">
            <w:pPr>
              <w:outlineLvl w:val="3"/>
              <w:rPr>
                <w:rFonts w:asciiTheme="majorHAnsi" w:eastAsia="Times New Roman" w:hAnsiTheme="majorHAnsi" w:cstheme="majorHAnsi"/>
                <w:bCs/>
                <w:color w:val="000000" w:themeColor="text1"/>
                <w:sz w:val="22"/>
                <w:szCs w:val="22"/>
              </w:rPr>
            </w:pPr>
          </w:p>
          <w:p w:rsidR="00A86168" w:rsidRPr="00062652" w:rsidRDefault="009C39B8" w:rsidP="003D5D99">
            <w:pPr>
              <w:outlineLvl w:val="3"/>
              <w:rPr>
                <w:rFonts w:asciiTheme="majorHAnsi" w:eastAsia="Times New Roman" w:hAnsiTheme="majorHAnsi" w:cstheme="majorHAnsi"/>
                <w:bCs/>
                <w:color w:val="000000" w:themeColor="text1"/>
                <w:sz w:val="22"/>
                <w:szCs w:val="22"/>
              </w:rPr>
            </w:pPr>
            <w:r w:rsidRPr="00062652">
              <w:rPr>
                <w:rFonts w:asciiTheme="majorHAnsi" w:eastAsia="Times New Roman" w:hAnsiTheme="majorHAnsi" w:cstheme="majorHAnsi"/>
                <w:bCs/>
                <w:color w:val="000000" w:themeColor="text1"/>
                <w:sz w:val="22"/>
                <w:szCs w:val="22"/>
              </w:rPr>
              <w:t xml:space="preserve">Group 1 (Students </w:t>
            </w:r>
            <w:r w:rsidR="00982217" w:rsidRPr="00062652">
              <w:rPr>
                <w:rFonts w:asciiTheme="majorHAnsi" w:eastAsia="Times New Roman" w:hAnsiTheme="majorHAnsi" w:cstheme="majorHAnsi"/>
                <w:bCs/>
                <w:color w:val="000000" w:themeColor="text1"/>
                <w:sz w:val="22"/>
                <w:szCs w:val="22"/>
              </w:rPr>
              <w:t>a</w:t>
            </w:r>
            <w:r w:rsidRPr="00062652">
              <w:rPr>
                <w:rFonts w:asciiTheme="majorHAnsi" w:eastAsia="Times New Roman" w:hAnsiTheme="majorHAnsi" w:cstheme="majorHAnsi"/>
                <w:bCs/>
                <w:color w:val="000000" w:themeColor="text1"/>
                <w:sz w:val="22"/>
                <w:szCs w:val="22"/>
              </w:rPr>
              <w:t xml:space="preserve">dmitted on </w:t>
            </w:r>
            <w:r w:rsidR="00982217" w:rsidRPr="00062652">
              <w:rPr>
                <w:rFonts w:asciiTheme="majorHAnsi" w:eastAsia="Times New Roman" w:hAnsiTheme="majorHAnsi" w:cstheme="majorHAnsi"/>
                <w:bCs/>
                <w:color w:val="000000" w:themeColor="text1"/>
                <w:sz w:val="22"/>
                <w:szCs w:val="22"/>
              </w:rPr>
              <w:t>appeal):</w:t>
            </w:r>
            <w:r w:rsidRPr="00062652">
              <w:rPr>
                <w:rFonts w:asciiTheme="majorHAnsi" w:eastAsia="Times New Roman" w:hAnsiTheme="majorHAnsi" w:cstheme="majorHAnsi"/>
                <w:bCs/>
                <w:color w:val="000000" w:themeColor="text1"/>
                <w:sz w:val="22"/>
                <w:szCs w:val="22"/>
              </w:rPr>
              <w:t xml:space="preserve"> These data refer to Fall 2017 activities.</w:t>
            </w:r>
          </w:p>
          <w:p w:rsidR="009C39B8" w:rsidRPr="00062652" w:rsidRDefault="009C39B8" w:rsidP="008A2BBC">
            <w:pPr>
              <w:pStyle w:val="ListParagraph"/>
              <w:numPr>
                <w:ilvl w:val="0"/>
                <w:numId w:val="17"/>
              </w:numPr>
              <w:contextualSpacing w:val="0"/>
              <w:rPr>
                <w:rFonts w:asciiTheme="majorHAnsi" w:hAnsiTheme="majorHAnsi" w:cstheme="majorHAnsi"/>
                <w:color w:val="000000" w:themeColor="text1"/>
                <w:sz w:val="22"/>
                <w:szCs w:val="22"/>
              </w:rPr>
            </w:pPr>
            <w:r w:rsidRPr="00062652">
              <w:rPr>
                <w:rFonts w:asciiTheme="majorHAnsi" w:eastAsia="Times New Roman" w:hAnsiTheme="majorHAnsi" w:cstheme="majorHAnsi"/>
                <w:bCs/>
                <w:color w:val="000000" w:themeColor="text1"/>
                <w:sz w:val="22"/>
                <w:szCs w:val="22"/>
              </w:rPr>
              <w:t xml:space="preserve">112 students were admitted </w:t>
            </w:r>
            <w:r w:rsidR="008A2BBC" w:rsidRPr="00062652">
              <w:rPr>
                <w:rFonts w:asciiTheme="majorHAnsi" w:hAnsiTheme="majorHAnsi" w:cstheme="majorHAnsi"/>
                <w:color w:val="000000" w:themeColor="text1"/>
                <w:sz w:val="22"/>
                <w:szCs w:val="22"/>
              </w:rPr>
              <w:t xml:space="preserve">via appeal and were directed to go to the CAS for assistance.  </w:t>
            </w:r>
          </w:p>
          <w:p w:rsidR="008A2BBC" w:rsidRPr="00062652" w:rsidRDefault="009C39B8" w:rsidP="008A2BBC">
            <w:pPr>
              <w:pStyle w:val="ListParagraph"/>
              <w:numPr>
                <w:ilvl w:val="0"/>
                <w:numId w:val="15"/>
              </w:numPr>
              <w:contextualSpacing w:val="0"/>
              <w:rPr>
                <w:rFonts w:asciiTheme="majorHAnsi" w:hAnsiTheme="majorHAnsi" w:cstheme="majorHAnsi"/>
                <w:i/>
                <w:color w:val="000000" w:themeColor="text1"/>
                <w:sz w:val="22"/>
                <w:szCs w:val="22"/>
              </w:rPr>
            </w:pPr>
            <w:r w:rsidRPr="00062652">
              <w:rPr>
                <w:rFonts w:asciiTheme="majorHAnsi" w:eastAsia="Times New Roman" w:hAnsiTheme="majorHAnsi" w:cstheme="majorHAnsi"/>
                <w:bCs/>
                <w:color w:val="000000" w:themeColor="text1"/>
                <w:sz w:val="22"/>
                <w:szCs w:val="22"/>
              </w:rPr>
              <w:t xml:space="preserve">74 </w:t>
            </w:r>
            <w:r w:rsidR="008A2BBC" w:rsidRPr="00062652">
              <w:rPr>
                <w:rFonts w:asciiTheme="majorHAnsi" w:eastAsia="Times New Roman" w:hAnsiTheme="majorHAnsi" w:cstheme="majorHAnsi"/>
                <w:bCs/>
                <w:color w:val="000000" w:themeColor="text1"/>
                <w:sz w:val="22"/>
                <w:szCs w:val="22"/>
              </w:rPr>
              <w:t xml:space="preserve">of the 112 students (66%) </w:t>
            </w:r>
            <w:r w:rsidRPr="00062652">
              <w:rPr>
                <w:rFonts w:asciiTheme="majorHAnsi" w:eastAsia="Times New Roman" w:hAnsiTheme="majorHAnsi" w:cstheme="majorHAnsi"/>
                <w:bCs/>
                <w:color w:val="000000" w:themeColor="text1"/>
                <w:sz w:val="22"/>
                <w:szCs w:val="22"/>
              </w:rPr>
              <w:t xml:space="preserve">used </w:t>
            </w:r>
            <w:r w:rsidR="008A2BBC" w:rsidRPr="00062652">
              <w:rPr>
                <w:rFonts w:asciiTheme="majorHAnsi" w:hAnsiTheme="majorHAnsi" w:cstheme="majorHAnsi"/>
                <w:color w:val="000000" w:themeColor="text1"/>
                <w:sz w:val="22"/>
                <w:szCs w:val="22"/>
              </w:rPr>
              <w:t xml:space="preserve">one or more CAS services such as tutoring, peer academic coaching, and supplemental instruction. This group’s average term GPA was </w:t>
            </w:r>
            <w:r w:rsidR="00A173AF" w:rsidRPr="00062652">
              <w:rPr>
                <w:rFonts w:asciiTheme="majorHAnsi" w:hAnsiTheme="majorHAnsi" w:cstheme="majorHAnsi"/>
                <w:color w:val="000000" w:themeColor="text1"/>
                <w:sz w:val="22"/>
                <w:szCs w:val="22"/>
              </w:rPr>
              <w:t>2.32</w:t>
            </w:r>
            <w:r w:rsidR="008A2BBC" w:rsidRPr="00062652">
              <w:rPr>
                <w:rFonts w:asciiTheme="majorHAnsi" w:hAnsiTheme="majorHAnsi" w:cstheme="majorHAnsi"/>
                <w:color w:val="000000" w:themeColor="text1"/>
                <w:sz w:val="22"/>
                <w:szCs w:val="22"/>
              </w:rPr>
              <w:t>,</w:t>
            </w:r>
            <w:r w:rsidR="00B83788" w:rsidRPr="00062652">
              <w:rPr>
                <w:rFonts w:asciiTheme="majorHAnsi" w:hAnsiTheme="majorHAnsi" w:cstheme="majorHAnsi"/>
                <w:color w:val="000000" w:themeColor="text1"/>
                <w:sz w:val="22"/>
                <w:szCs w:val="22"/>
              </w:rPr>
              <w:t xml:space="preserve"> </w:t>
            </w:r>
            <w:r w:rsidR="008A2BBC" w:rsidRPr="00062652">
              <w:rPr>
                <w:rFonts w:asciiTheme="majorHAnsi" w:hAnsiTheme="majorHAnsi" w:cstheme="majorHAnsi"/>
                <w:color w:val="000000" w:themeColor="text1"/>
                <w:sz w:val="22"/>
                <w:szCs w:val="22"/>
              </w:rPr>
              <w:t xml:space="preserve">compared to </w:t>
            </w:r>
            <w:r w:rsidR="00B83788" w:rsidRPr="00062652">
              <w:rPr>
                <w:rFonts w:asciiTheme="majorHAnsi" w:hAnsiTheme="majorHAnsi" w:cstheme="majorHAnsi"/>
                <w:color w:val="000000" w:themeColor="text1"/>
                <w:sz w:val="22"/>
                <w:szCs w:val="22"/>
              </w:rPr>
              <w:t xml:space="preserve">1.60 </w:t>
            </w:r>
            <w:r w:rsidR="008A2BBC" w:rsidRPr="00062652">
              <w:rPr>
                <w:rFonts w:asciiTheme="majorHAnsi" w:hAnsiTheme="majorHAnsi" w:cstheme="majorHAnsi"/>
                <w:color w:val="000000" w:themeColor="text1"/>
                <w:sz w:val="22"/>
                <w:szCs w:val="22"/>
              </w:rPr>
              <w:t>for students who used no CAS services.</w:t>
            </w:r>
          </w:p>
          <w:p w:rsidR="009C39B8" w:rsidRPr="00062652" w:rsidRDefault="008A2BBC" w:rsidP="00CA2DBC">
            <w:pPr>
              <w:pStyle w:val="ListParagraph"/>
              <w:numPr>
                <w:ilvl w:val="0"/>
                <w:numId w:val="15"/>
              </w:numPr>
              <w:contextualSpacing w:val="0"/>
              <w:rPr>
                <w:rFonts w:asciiTheme="majorHAnsi" w:hAnsiTheme="majorHAnsi" w:cstheme="majorHAnsi"/>
                <w:color w:val="000000" w:themeColor="text1"/>
                <w:sz w:val="22"/>
                <w:szCs w:val="22"/>
              </w:rPr>
            </w:pPr>
            <w:r w:rsidRPr="00062652">
              <w:rPr>
                <w:rFonts w:asciiTheme="majorHAnsi" w:eastAsia="Times New Roman" w:hAnsiTheme="majorHAnsi" w:cstheme="majorHAnsi"/>
                <w:bCs/>
                <w:color w:val="000000" w:themeColor="text1"/>
                <w:sz w:val="22"/>
                <w:szCs w:val="22"/>
              </w:rPr>
              <w:t>20 of the 112 students (18%) used our services at least ten times.</w:t>
            </w:r>
            <w:r w:rsidR="00A173AF" w:rsidRPr="00062652">
              <w:rPr>
                <w:rFonts w:asciiTheme="majorHAnsi" w:eastAsia="Times New Roman" w:hAnsiTheme="majorHAnsi" w:cstheme="majorHAnsi"/>
                <w:bCs/>
                <w:color w:val="000000" w:themeColor="text1"/>
                <w:sz w:val="22"/>
                <w:szCs w:val="22"/>
              </w:rPr>
              <w:t xml:space="preserve"> </w:t>
            </w:r>
            <w:r w:rsidR="00A173AF" w:rsidRPr="00062652">
              <w:rPr>
                <w:rFonts w:asciiTheme="majorHAnsi" w:hAnsiTheme="majorHAnsi" w:cstheme="majorHAnsi"/>
                <w:color w:val="000000" w:themeColor="text1"/>
                <w:sz w:val="22"/>
                <w:szCs w:val="22"/>
              </w:rPr>
              <w:t>Their average term GPA was 2.60</w:t>
            </w:r>
            <w:r w:rsidR="009C6E58" w:rsidRPr="00062652">
              <w:rPr>
                <w:rFonts w:asciiTheme="majorHAnsi" w:hAnsiTheme="majorHAnsi" w:cstheme="majorHAnsi"/>
                <w:color w:val="000000" w:themeColor="text1"/>
                <w:sz w:val="22"/>
                <w:szCs w:val="22"/>
              </w:rPr>
              <w:t>.</w:t>
            </w:r>
            <w:r w:rsidR="00A173AF" w:rsidRPr="00062652">
              <w:rPr>
                <w:rFonts w:asciiTheme="majorHAnsi" w:hAnsiTheme="majorHAnsi" w:cstheme="majorHAnsi"/>
                <w:color w:val="000000" w:themeColor="text1"/>
                <w:sz w:val="22"/>
                <w:szCs w:val="22"/>
              </w:rPr>
              <w:t xml:space="preserve"> </w:t>
            </w:r>
          </w:p>
          <w:p w:rsidR="009E0521" w:rsidRPr="00062652" w:rsidRDefault="009E0521" w:rsidP="009E0521">
            <w:pPr>
              <w:rPr>
                <w:rFonts w:asciiTheme="majorHAnsi" w:hAnsiTheme="majorHAnsi" w:cstheme="majorHAnsi"/>
                <w:color w:val="000000" w:themeColor="text1"/>
                <w:sz w:val="22"/>
                <w:szCs w:val="22"/>
              </w:rPr>
            </w:pPr>
          </w:p>
          <w:p w:rsidR="009E0521" w:rsidRPr="00062652" w:rsidRDefault="009E0521" w:rsidP="009E0521">
            <w:pPr>
              <w:pStyle w:val="ListParagraph"/>
              <w:ind w:left="0"/>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Group 2 (Students with low, b</w:t>
            </w:r>
            <w:r w:rsidR="00982217" w:rsidRPr="00062652">
              <w:rPr>
                <w:rFonts w:asciiTheme="majorHAnsi" w:hAnsiTheme="majorHAnsi" w:cstheme="majorHAnsi"/>
                <w:color w:val="000000" w:themeColor="text1"/>
                <w:sz w:val="22"/>
                <w:szCs w:val="22"/>
              </w:rPr>
              <w:t>ut recoverable first term GPAs):</w:t>
            </w:r>
            <w:r w:rsidRPr="00062652">
              <w:rPr>
                <w:rFonts w:asciiTheme="majorHAnsi" w:hAnsiTheme="majorHAnsi" w:cstheme="majorHAnsi"/>
                <w:color w:val="000000" w:themeColor="text1"/>
                <w:sz w:val="22"/>
                <w:szCs w:val="22"/>
              </w:rPr>
              <w:t xml:space="preserve"> These data refer to Spring 201</w:t>
            </w:r>
            <w:r w:rsidR="00B61764" w:rsidRPr="00062652">
              <w:rPr>
                <w:rFonts w:asciiTheme="majorHAnsi" w:hAnsiTheme="majorHAnsi" w:cstheme="majorHAnsi"/>
                <w:color w:val="000000" w:themeColor="text1"/>
                <w:sz w:val="22"/>
                <w:szCs w:val="22"/>
              </w:rPr>
              <w:t>8</w:t>
            </w:r>
            <w:r w:rsidRPr="00062652">
              <w:rPr>
                <w:rFonts w:asciiTheme="majorHAnsi" w:hAnsiTheme="majorHAnsi" w:cstheme="majorHAnsi"/>
                <w:color w:val="000000" w:themeColor="text1"/>
                <w:sz w:val="22"/>
                <w:szCs w:val="22"/>
              </w:rPr>
              <w:t xml:space="preserve"> activities.</w:t>
            </w:r>
          </w:p>
          <w:p w:rsidR="009E0521" w:rsidRPr="00062652" w:rsidRDefault="009E0521" w:rsidP="009E0521">
            <w:pPr>
              <w:pStyle w:val="ListParagraph"/>
              <w:numPr>
                <w:ilvl w:val="0"/>
                <w:numId w:val="16"/>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63 first-semester students were identified as having a Fall 201</w:t>
            </w:r>
            <w:r w:rsidR="00B61764" w:rsidRPr="00062652">
              <w:rPr>
                <w:rFonts w:asciiTheme="majorHAnsi" w:hAnsiTheme="majorHAnsi" w:cstheme="majorHAnsi"/>
                <w:color w:val="000000" w:themeColor="text1"/>
                <w:sz w:val="22"/>
                <w:szCs w:val="22"/>
              </w:rPr>
              <w:t>7</w:t>
            </w:r>
            <w:r w:rsidRPr="00062652">
              <w:rPr>
                <w:rFonts w:asciiTheme="majorHAnsi" w:hAnsiTheme="majorHAnsi" w:cstheme="majorHAnsi"/>
                <w:color w:val="000000" w:themeColor="text1"/>
                <w:sz w:val="22"/>
                <w:szCs w:val="22"/>
              </w:rPr>
              <w:t xml:space="preserve"> term GPA between 1.75 and 1.99.</w:t>
            </w:r>
          </w:p>
          <w:p w:rsidR="009C39B8" w:rsidRPr="00062652" w:rsidRDefault="009E0521" w:rsidP="009E0521">
            <w:pPr>
              <w:pStyle w:val="ListParagraph"/>
              <w:numPr>
                <w:ilvl w:val="0"/>
                <w:numId w:val="16"/>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At the end</w:t>
            </w:r>
            <w:r w:rsidR="00982217" w:rsidRPr="00062652">
              <w:rPr>
                <w:rFonts w:asciiTheme="majorHAnsi" w:hAnsiTheme="majorHAnsi" w:cstheme="majorHAnsi"/>
                <w:color w:val="000000" w:themeColor="text1"/>
                <w:sz w:val="22"/>
                <w:szCs w:val="22"/>
              </w:rPr>
              <w:t xml:space="preserve"> of Spring 2018, 47% of these 63</w:t>
            </w:r>
            <w:r w:rsidRPr="00062652">
              <w:rPr>
                <w:rFonts w:asciiTheme="majorHAnsi" w:hAnsiTheme="majorHAnsi" w:cstheme="majorHAnsi"/>
                <w:color w:val="000000" w:themeColor="text1"/>
                <w:sz w:val="22"/>
                <w:szCs w:val="22"/>
              </w:rPr>
              <w:t xml:space="preserve"> students had earned a cumulative GPA above 2.0 (cumulative for entire first year, which means they kept their federal financial aid).</w:t>
            </w:r>
          </w:p>
        </w:tc>
      </w:tr>
      <w:tr w:rsidR="00A86168" w:rsidRPr="00062652" w:rsidTr="00B32CCD">
        <w:tc>
          <w:tcPr>
            <w:tcW w:w="2245" w:type="dxa"/>
          </w:tcPr>
          <w:p w:rsidR="00A86168" w:rsidRPr="00062652" w:rsidRDefault="00A86168"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Measures of Success</w:t>
            </w:r>
          </w:p>
        </w:tc>
        <w:tc>
          <w:tcPr>
            <w:tcW w:w="7105" w:type="dxa"/>
          </w:tcPr>
          <w:p w:rsidR="00A86168" w:rsidRPr="00062652" w:rsidRDefault="00A86168" w:rsidP="003D5D99">
            <w:pPr>
              <w:outlineLvl w:val="3"/>
              <w:rPr>
                <w:rFonts w:asciiTheme="majorHAnsi" w:eastAsia="Times New Roman" w:hAnsiTheme="majorHAnsi" w:cstheme="majorHAnsi"/>
                <w:b/>
                <w:bCs/>
                <w:color w:val="000000" w:themeColor="text1"/>
                <w:sz w:val="22"/>
                <w:szCs w:val="22"/>
              </w:rPr>
            </w:pPr>
            <w:r w:rsidRPr="00062652">
              <w:rPr>
                <w:rFonts w:asciiTheme="majorHAnsi" w:hAnsiTheme="majorHAnsi" w:cstheme="majorHAnsi"/>
                <w:color w:val="000000" w:themeColor="text1"/>
                <w:sz w:val="22"/>
                <w:szCs w:val="22"/>
              </w:rPr>
              <w:t>Ultimately, we anticipate that the focused attention on at-risk populations will improve retention and graduation rates. The specific efforts began in 2016-</w:t>
            </w:r>
            <w:r w:rsidR="00B61764" w:rsidRPr="00062652">
              <w:rPr>
                <w:rFonts w:asciiTheme="majorHAnsi" w:hAnsiTheme="majorHAnsi" w:cstheme="majorHAnsi"/>
                <w:color w:val="000000" w:themeColor="text1"/>
                <w:sz w:val="22"/>
                <w:szCs w:val="22"/>
              </w:rPr>
              <w:t>20</w:t>
            </w:r>
            <w:r w:rsidRPr="00062652">
              <w:rPr>
                <w:rFonts w:asciiTheme="majorHAnsi" w:hAnsiTheme="majorHAnsi" w:cstheme="majorHAnsi"/>
                <w:color w:val="000000" w:themeColor="text1"/>
                <w:sz w:val="22"/>
                <w:szCs w:val="22"/>
              </w:rPr>
              <w:t>17. The four-year rates that will be reported at the e</w:t>
            </w:r>
            <w:r w:rsidR="00900B04" w:rsidRPr="00062652">
              <w:rPr>
                <w:rFonts w:asciiTheme="majorHAnsi" w:hAnsiTheme="majorHAnsi" w:cstheme="majorHAnsi"/>
                <w:color w:val="000000" w:themeColor="text1"/>
                <w:sz w:val="22"/>
                <w:szCs w:val="22"/>
              </w:rPr>
              <w:t>nd of the FY 2021</w:t>
            </w:r>
            <w:r w:rsidRPr="00062652">
              <w:rPr>
                <w:rFonts w:asciiTheme="majorHAnsi" w:hAnsiTheme="majorHAnsi" w:cstheme="majorHAnsi"/>
                <w:color w:val="000000" w:themeColor="text1"/>
                <w:sz w:val="22"/>
                <w:szCs w:val="22"/>
              </w:rPr>
              <w:t xml:space="preserve"> should reflect the effect of this initiative.</w:t>
            </w:r>
          </w:p>
        </w:tc>
      </w:tr>
      <w:tr w:rsidR="00A86168" w:rsidRPr="00062652" w:rsidTr="00B26B3B">
        <w:tc>
          <w:tcPr>
            <w:tcW w:w="2245" w:type="dxa"/>
          </w:tcPr>
          <w:p w:rsidR="00A86168" w:rsidRPr="00062652" w:rsidRDefault="00A86168" w:rsidP="003D5D99">
            <w:pPr>
              <w:outlineLvl w:val="3"/>
              <w:rPr>
                <w:rFonts w:asciiTheme="majorHAnsi" w:eastAsia="Times New Roman" w:hAnsiTheme="majorHAnsi" w:cstheme="majorHAnsi"/>
                <w:b/>
                <w:bCs/>
                <w:color w:val="000000" w:themeColor="text1"/>
                <w:sz w:val="22"/>
                <w:szCs w:val="22"/>
              </w:rPr>
            </w:pPr>
          </w:p>
        </w:tc>
        <w:tc>
          <w:tcPr>
            <w:tcW w:w="7105" w:type="dxa"/>
            <w:shd w:val="clear" w:color="auto" w:fill="FFFFFF" w:themeFill="background1"/>
          </w:tcPr>
          <w:p w:rsidR="00A86168" w:rsidRPr="00062652" w:rsidRDefault="00492BD2" w:rsidP="00B26B3B">
            <w:pPr>
              <w:outlineLvl w:val="3"/>
              <w:rPr>
                <w:rFonts w:asciiTheme="majorHAnsi" w:hAnsiTheme="majorHAnsi" w:cstheme="majorHAnsi"/>
                <w:color w:val="000000"/>
                <w:sz w:val="22"/>
                <w:szCs w:val="22"/>
                <w:shd w:val="clear" w:color="auto" w:fill="FFFFFF"/>
              </w:rPr>
            </w:pPr>
            <w:r w:rsidRPr="00062652">
              <w:rPr>
                <w:rFonts w:asciiTheme="majorHAnsi" w:hAnsiTheme="majorHAnsi" w:cstheme="majorHAnsi"/>
                <w:color w:val="000000"/>
                <w:sz w:val="22"/>
                <w:szCs w:val="22"/>
                <w:shd w:val="clear" w:color="auto" w:fill="FFFFFF"/>
              </w:rPr>
              <w:t xml:space="preserve">Identifying at-risk students early in their academic career and encouraging them to use academic support had a positive effect on students’ academic success.  Group 1 students who were admitted on appeal had a substantially </w:t>
            </w:r>
            <w:r w:rsidRPr="00062652">
              <w:rPr>
                <w:rFonts w:asciiTheme="majorHAnsi" w:hAnsiTheme="majorHAnsi" w:cstheme="majorHAnsi"/>
                <w:color w:val="000000"/>
                <w:sz w:val="22"/>
                <w:szCs w:val="22"/>
                <w:shd w:val="clear" w:color="auto" w:fill="FFFFFF"/>
              </w:rPr>
              <w:lastRenderedPageBreak/>
              <w:t>higher GPA if they used the services offered by the Center for Academic Success shown in the Interim Measures of Progress above.  For the Group 2 students who had a GPA between 1.75 and 1.99 in their first semester, a</w:t>
            </w:r>
            <w:r w:rsidR="0056721D" w:rsidRPr="00062652">
              <w:rPr>
                <w:rFonts w:asciiTheme="majorHAnsi" w:hAnsiTheme="majorHAnsi" w:cstheme="majorHAnsi"/>
                <w:color w:val="000000"/>
                <w:sz w:val="22"/>
                <w:szCs w:val="22"/>
                <w:shd w:val="clear" w:color="auto" w:fill="FFFFFF"/>
              </w:rPr>
              <w:t>pproximately</w:t>
            </w:r>
            <w:r w:rsidRPr="00062652">
              <w:rPr>
                <w:rFonts w:asciiTheme="majorHAnsi" w:hAnsiTheme="majorHAnsi" w:cstheme="majorHAnsi"/>
                <w:color w:val="000000"/>
                <w:sz w:val="22"/>
                <w:szCs w:val="22"/>
                <w:shd w:val="clear" w:color="auto" w:fill="FFFFFF"/>
              </w:rPr>
              <w:t xml:space="preserve"> half (</w:t>
            </w:r>
            <w:r w:rsidR="00900B04" w:rsidRPr="00062652">
              <w:rPr>
                <w:rFonts w:asciiTheme="majorHAnsi" w:hAnsiTheme="majorHAnsi" w:cstheme="majorHAnsi"/>
                <w:color w:val="000000"/>
                <w:sz w:val="22"/>
                <w:szCs w:val="22"/>
                <w:shd w:val="clear" w:color="auto" w:fill="FFFFFF"/>
              </w:rPr>
              <w:t>52% in 2016</w:t>
            </w:r>
            <w:r w:rsidR="0056721D" w:rsidRPr="00062652">
              <w:rPr>
                <w:rFonts w:asciiTheme="majorHAnsi" w:hAnsiTheme="majorHAnsi" w:cstheme="majorHAnsi"/>
                <w:color w:val="000000"/>
                <w:sz w:val="22"/>
                <w:szCs w:val="22"/>
                <w:shd w:val="clear" w:color="auto" w:fill="FFFFFF"/>
              </w:rPr>
              <w:t xml:space="preserve">-2017 and </w:t>
            </w:r>
            <w:r w:rsidRPr="00062652">
              <w:rPr>
                <w:rFonts w:asciiTheme="majorHAnsi" w:hAnsiTheme="majorHAnsi" w:cstheme="majorHAnsi"/>
                <w:color w:val="000000"/>
                <w:sz w:val="22"/>
                <w:szCs w:val="22"/>
                <w:shd w:val="clear" w:color="auto" w:fill="FFFFFF"/>
              </w:rPr>
              <w:t>47%</w:t>
            </w:r>
            <w:r w:rsidR="0056721D" w:rsidRPr="00062652">
              <w:rPr>
                <w:rFonts w:asciiTheme="majorHAnsi" w:hAnsiTheme="majorHAnsi" w:cstheme="majorHAnsi"/>
                <w:color w:val="000000"/>
                <w:sz w:val="22"/>
                <w:szCs w:val="22"/>
                <w:shd w:val="clear" w:color="auto" w:fill="FFFFFF"/>
              </w:rPr>
              <w:t xml:space="preserve"> in 2017-2018</w:t>
            </w:r>
            <w:r w:rsidRPr="00062652">
              <w:rPr>
                <w:rFonts w:asciiTheme="majorHAnsi" w:hAnsiTheme="majorHAnsi" w:cstheme="majorHAnsi"/>
                <w:color w:val="000000"/>
                <w:sz w:val="22"/>
                <w:szCs w:val="22"/>
                <w:shd w:val="clear" w:color="auto" w:fill="FFFFFF"/>
              </w:rPr>
              <w:t xml:space="preserve">) earned a cumulative GPA above a 2.0, following outreach and encouragement by academic advisors. Our predictive data from EAB indicates that students whose GPA drops below a 2.0 are not retained, so assisting these students with improving their GPA decreases </w:t>
            </w:r>
            <w:r w:rsidR="00900B04" w:rsidRPr="00062652">
              <w:rPr>
                <w:rFonts w:asciiTheme="majorHAnsi" w:hAnsiTheme="majorHAnsi" w:cstheme="majorHAnsi"/>
                <w:color w:val="000000"/>
                <w:sz w:val="22"/>
                <w:szCs w:val="22"/>
                <w:shd w:val="clear" w:color="auto" w:fill="FFFFFF"/>
              </w:rPr>
              <w:t>their risk of leaving. </w:t>
            </w:r>
            <w:r w:rsidR="00B26B3B" w:rsidRPr="00062652">
              <w:rPr>
                <w:rFonts w:asciiTheme="majorHAnsi" w:hAnsiTheme="majorHAnsi" w:cstheme="majorHAnsi"/>
                <w:color w:val="000000"/>
                <w:sz w:val="22"/>
                <w:szCs w:val="22"/>
                <w:shd w:val="clear" w:color="auto" w:fill="FFFFFF"/>
              </w:rPr>
              <w:t>In Fall 2018, we focused massive effort on student academic support and identifying students at risk. We defined 517 students as being at risk through a regression and risk score development process. Among those students, 86% were retained into Spring vs. 81%  in the previous Fall 2017.</w:t>
            </w:r>
            <w:r w:rsidRPr="00062652">
              <w:rPr>
                <w:rFonts w:asciiTheme="majorHAnsi" w:hAnsiTheme="majorHAnsi" w:cstheme="majorHAnsi"/>
                <w:color w:val="000000"/>
                <w:sz w:val="22"/>
                <w:szCs w:val="22"/>
                <w:shd w:val="clear" w:color="auto" w:fill="FFFFFF"/>
              </w:rPr>
              <w:t>  </w:t>
            </w:r>
          </w:p>
        </w:tc>
      </w:tr>
    </w:tbl>
    <w:p w:rsidR="000A7037" w:rsidRPr="00062652" w:rsidRDefault="000A7037" w:rsidP="003D5D99">
      <w:pPr>
        <w:outlineLvl w:val="3"/>
        <w:rPr>
          <w:rFonts w:asciiTheme="majorHAnsi" w:eastAsia="Times New Roman" w:hAnsiTheme="majorHAnsi" w:cstheme="majorHAnsi"/>
          <w:b/>
          <w:bCs/>
          <w:color w:val="0070C0"/>
          <w:sz w:val="22"/>
          <w:szCs w:val="22"/>
        </w:rPr>
      </w:pPr>
    </w:p>
    <w:p w:rsidR="00FC0087" w:rsidRPr="00062652" w:rsidRDefault="00FC0087" w:rsidP="003D5D99">
      <w:pPr>
        <w:rPr>
          <w:rFonts w:asciiTheme="majorHAnsi" w:hAnsiTheme="majorHAnsi" w:cstheme="majorHAnsi"/>
          <w:color w:val="0070C0"/>
          <w:sz w:val="22"/>
          <w:szCs w:val="22"/>
        </w:rPr>
      </w:pPr>
    </w:p>
    <w:tbl>
      <w:tblPr>
        <w:tblStyle w:val="TableGrid"/>
        <w:tblW w:w="0" w:type="auto"/>
        <w:tblLook w:val="04A0" w:firstRow="1" w:lastRow="0" w:firstColumn="1" w:lastColumn="0" w:noHBand="0" w:noVBand="1"/>
      </w:tblPr>
      <w:tblGrid>
        <w:gridCol w:w="2245"/>
        <w:gridCol w:w="7105"/>
      </w:tblGrid>
      <w:tr w:rsidR="00DB546B" w:rsidRPr="00062652" w:rsidTr="00DB546B">
        <w:tc>
          <w:tcPr>
            <w:tcW w:w="2245" w:type="dxa"/>
          </w:tcPr>
          <w:p w:rsidR="00540FAF" w:rsidRPr="00062652" w:rsidRDefault="00540FAF" w:rsidP="002F7B49">
            <w:pPr>
              <w:rPr>
                <w:rFonts w:asciiTheme="majorHAnsi" w:hAnsiTheme="majorHAnsi" w:cstheme="majorHAnsi"/>
                <w:b/>
                <w:bCs/>
                <w:color w:val="C00000"/>
                <w:sz w:val="22"/>
                <w:szCs w:val="22"/>
              </w:rPr>
            </w:pPr>
            <w:r w:rsidRPr="00062652">
              <w:rPr>
                <w:rFonts w:asciiTheme="majorHAnsi" w:hAnsiTheme="majorHAnsi" w:cstheme="majorHAnsi"/>
                <w:b/>
                <w:bCs/>
                <w:color w:val="C00000"/>
                <w:sz w:val="22"/>
                <w:szCs w:val="22"/>
              </w:rPr>
              <w:t xml:space="preserve">High-impact strategy </w:t>
            </w:r>
            <w:r w:rsidR="006A68D1" w:rsidRPr="00062652">
              <w:rPr>
                <w:rFonts w:asciiTheme="majorHAnsi" w:hAnsiTheme="majorHAnsi" w:cstheme="majorHAnsi"/>
                <w:b/>
                <w:bCs/>
                <w:color w:val="C00000"/>
                <w:sz w:val="22"/>
                <w:szCs w:val="22"/>
              </w:rPr>
              <w:t>3</w:t>
            </w:r>
          </w:p>
          <w:p w:rsidR="00540FAF" w:rsidRPr="00062652" w:rsidRDefault="00540FAF" w:rsidP="003D5D99">
            <w:pPr>
              <w:rPr>
                <w:rFonts w:asciiTheme="majorHAnsi" w:hAnsiTheme="majorHAnsi" w:cstheme="majorHAnsi"/>
                <w:color w:val="0070C0"/>
                <w:sz w:val="22"/>
                <w:szCs w:val="22"/>
              </w:rPr>
            </w:pPr>
          </w:p>
        </w:tc>
        <w:tc>
          <w:tcPr>
            <w:tcW w:w="7105" w:type="dxa"/>
          </w:tcPr>
          <w:p w:rsidR="00540FAF" w:rsidRPr="00062652" w:rsidRDefault="0059017E" w:rsidP="00762F3F">
            <w:pPr>
              <w:rPr>
                <w:rFonts w:asciiTheme="majorHAnsi" w:hAnsiTheme="majorHAnsi" w:cstheme="majorHAnsi"/>
                <w:color w:val="0070C0"/>
                <w:sz w:val="22"/>
                <w:szCs w:val="22"/>
              </w:rPr>
            </w:pPr>
            <w:r w:rsidRPr="00062652">
              <w:rPr>
                <w:rFonts w:asciiTheme="majorHAnsi" w:hAnsiTheme="majorHAnsi" w:cstheme="majorHAnsi"/>
                <w:iCs/>
                <w:color w:val="C00000"/>
                <w:sz w:val="22"/>
                <w:szCs w:val="22"/>
              </w:rPr>
              <w:t xml:space="preserve">EXPAND ACCESS TO PROFESSIONAL ADVISING. </w:t>
            </w:r>
            <w:r w:rsidR="00762F3F" w:rsidRPr="00062652">
              <w:rPr>
                <w:rFonts w:asciiTheme="majorHAnsi" w:hAnsiTheme="majorHAnsi" w:cstheme="majorHAnsi"/>
                <w:iCs/>
                <w:color w:val="C00000"/>
                <w:sz w:val="22"/>
                <w:szCs w:val="22"/>
              </w:rPr>
              <w:t>Provide Professional Advising in the Advising Center for all College of Social Science majors</w:t>
            </w:r>
            <w:r w:rsidR="00B61764" w:rsidRPr="00062652">
              <w:rPr>
                <w:rFonts w:asciiTheme="majorHAnsi" w:hAnsiTheme="majorHAnsi" w:cstheme="majorHAnsi"/>
                <w:iCs/>
                <w:color w:val="C00000"/>
                <w:sz w:val="22"/>
                <w:szCs w:val="22"/>
              </w:rPr>
              <w:t xml:space="preserve"> (i.e., juniors and seniors)</w:t>
            </w:r>
            <w:r w:rsidR="00762F3F" w:rsidRPr="00062652">
              <w:rPr>
                <w:rFonts w:asciiTheme="majorHAnsi" w:hAnsiTheme="majorHAnsi" w:cstheme="majorHAnsi"/>
                <w:iCs/>
                <w:color w:val="C00000"/>
                <w:sz w:val="22"/>
                <w:szCs w:val="22"/>
              </w:rPr>
              <w:t xml:space="preserve">. Continue Professional Advising for </w:t>
            </w:r>
            <w:r w:rsidR="00540FAF" w:rsidRPr="00062652">
              <w:rPr>
                <w:rFonts w:asciiTheme="majorHAnsi" w:hAnsiTheme="majorHAnsi" w:cstheme="majorHAnsi"/>
                <w:iCs/>
                <w:color w:val="C00000"/>
                <w:sz w:val="22"/>
                <w:szCs w:val="22"/>
              </w:rPr>
              <w:t xml:space="preserve">students under 60 credit hours </w:t>
            </w:r>
            <w:r w:rsidR="00762F3F" w:rsidRPr="00062652">
              <w:rPr>
                <w:rFonts w:asciiTheme="majorHAnsi" w:hAnsiTheme="majorHAnsi" w:cstheme="majorHAnsi"/>
                <w:iCs/>
                <w:color w:val="C00000"/>
                <w:sz w:val="22"/>
                <w:szCs w:val="22"/>
              </w:rPr>
              <w:t>in the College of Arts and Humanities and College of Science and Math</w:t>
            </w:r>
            <w:r w:rsidR="00B61764" w:rsidRPr="00062652">
              <w:rPr>
                <w:rFonts w:asciiTheme="majorHAnsi" w:hAnsiTheme="majorHAnsi" w:cstheme="majorHAnsi"/>
                <w:iCs/>
                <w:color w:val="C00000"/>
                <w:sz w:val="22"/>
                <w:szCs w:val="22"/>
              </w:rPr>
              <w:t>ematics</w:t>
            </w:r>
            <w:r w:rsidR="00762F3F" w:rsidRPr="00062652">
              <w:rPr>
                <w:rFonts w:asciiTheme="majorHAnsi" w:hAnsiTheme="majorHAnsi" w:cstheme="majorHAnsi"/>
                <w:iCs/>
                <w:color w:val="C00000"/>
                <w:sz w:val="22"/>
                <w:szCs w:val="22"/>
              </w:rPr>
              <w:t>.</w:t>
            </w:r>
          </w:p>
        </w:tc>
      </w:tr>
      <w:tr w:rsidR="00DB546B" w:rsidRPr="00062652" w:rsidTr="00DB546B">
        <w:tc>
          <w:tcPr>
            <w:tcW w:w="2245" w:type="dxa"/>
          </w:tcPr>
          <w:p w:rsidR="00DB546B" w:rsidRPr="00062652" w:rsidRDefault="00DB546B" w:rsidP="003D5D99">
            <w:pPr>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Related Goal</w:t>
            </w:r>
          </w:p>
        </w:tc>
        <w:tc>
          <w:tcPr>
            <w:tcW w:w="7105" w:type="dxa"/>
          </w:tcPr>
          <w:p w:rsidR="00DB546B" w:rsidRPr="00062652" w:rsidRDefault="00DB546B" w:rsidP="002F7B49">
            <w:pPr>
              <w:rPr>
                <w:rFonts w:asciiTheme="majorHAnsi" w:hAnsiTheme="majorHAnsi" w:cstheme="majorHAnsi"/>
                <w:iCs/>
                <w:sz w:val="22"/>
                <w:szCs w:val="22"/>
              </w:rPr>
            </w:pPr>
            <w:r w:rsidRPr="00062652">
              <w:rPr>
                <w:rFonts w:asciiTheme="majorHAnsi" w:hAnsiTheme="majorHAnsi" w:cstheme="majorHAnsi"/>
                <w:iCs/>
                <w:color w:val="000000" w:themeColor="text1"/>
                <w:sz w:val="22"/>
                <w:szCs w:val="22"/>
              </w:rPr>
              <w:t>CCG GOAL 4.  Provide intentional advising to keep students on track to graduate.</w:t>
            </w:r>
          </w:p>
        </w:tc>
      </w:tr>
      <w:tr w:rsidR="00DB546B" w:rsidRPr="00062652" w:rsidTr="00DB546B">
        <w:tc>
          <w:tcPr>
            <w:tcW w:w="2245" w:type="dxa"/>
          </w:tcPr>
          <w:p w:rsidR="00540FAF" w:rsidRPr="00062652" w:rsidRDefault="00540FAF" w:rsidP="003D5D99">
            <w:pPr>
              <w:rPr>
                <w:rFonts w:asciiTheme="majorHAnsi" w:hAnsiTheme="majorHAnsi" w:cstheme="majorHAnsi"/>
                <w:color w:val="0070C0"/>
                <w:sz w:val="22"/>
                <w:szCs w:val="22"/>
              </w:rPr>
            </w:pPr>
            <w:r w:rsidRPr="00062652">
              <w:rPr>
                <w:rFonts w:asciiTheme="majorHAnsi" w:hAnsiTheme="majorHAnsi" w:cstheme="majorHAnsi"/>
                <w:b/>
                <w:bCs/>
                <w:color w:val="000000" w:themeColor="text1"/>
                <w:sz w:val="22"/>
                <w:szCs w:val="22"/>
              </w:rPr>
              <w:t>Demonstration of Priority and/or Impact</w:t>
            </w:r>
          </w:p>
        </w:tc>
        <w:tc>
          <w:tcPr>
            <w:tcW w:w="7105" w:type="dxa"/>
          </w:tcPr>
          <w:p w:rsidR="00540FAF" w:rsidRPr="00062652" w:rsidRDefault="00540FAF" w:rsidP="002F7B49">
            <w:pPr>
              <w:rPr>
                <w:rFonts w:asciiTheme="majorHAnsi" w:hAnsiTheme="majorHAnsi" w:cstheme="majorHAnsi"/>
                <w:iCs/>
                <w:sz w:val="22"/>
                <w:szCs w:val="22"/>
              </w:rPr>
            </w:pPr>
            <w:r w:rsidRPr="00062652">
              <w:rPr>
                <w:rFonts w:asciiTheme="majorHAnsi" w:hAnsiTheme="majorHAnsi" w:cstheme="majorHAnsi"/>
                <w:iCs/>
                <w:sz w:val="22"/>
                <w:szCs w:val="22"/>
              </w:rPr>
              <w:t>This high impact strategy is aligned with two of UWG’s Student Success strategic imperative goals:</w:t>
            </w:r>
          </w:p>
          <w:p w:rsidR="00540FAF" w:rsidRPr="00062652" w:rsidRDefault="00540FAF" w:rsidP="00B06360">
            <w:pPr>
              <w:pStyle w:val="ListParagraph"/>
              <w:numPr>
                <w:ilvl w:val="0"/>
                <w:numId w:val="27"/>
              </w:numPr>
              <w:rPr>
                <w:rFonts w:asciiTheme="majorHAnsi" w:hAnsiTheme="majorHAnsi" w:cstheme="majorHAnsi"/>
                <w:iCs/>
                <w:sz w:val="22"/>
                <w:szCs w:val="22"/>
              </w:rPr>
            </w:pPr>
            <w:r w:rsidRPr="00062652">
              <w:rPr>
                <w:rFonts w:asciiTheme="majorHAnsi" w:hAnsiTheme="majorHAnsi" w:cstheme="majorHAnsi"/>
                <w:iCs/>
                <w:sz w:val="22"/>
                <w:szCs w:val="22"/>
                <w:u w:val="single"/>
              </w:rPr>
              <w:t>Goal 1.A.1</w:t>
            </w:r>
            <w:r w:rsidRPr="00062652">
              <w:rPr>
                <w:rFonts w:asciiTheme="majorHAnsi" w:hAnsiTheme="majorHAnsi" w:cstheme="majorHAnsi"/>
                <w:iCs/>
                <w:sz w:val="22"/>
                <w:szCs w:val="22"/>
              </w:rPr>
              <w:t>:  Implement and continually assess evidence-based strategies that improve retention, progression, and graduation rates.</w:t>
            </w:r>
            <w:r w:rsidR="00B61764" w:rsidRPr="00062652">
              <w:rPr>
                <w:rFonts w:asciiTheme="majorHAnsi" w:hAnsiTheme="majorHAnsi" w:cstheme="majorHAnsi"/>
                <w:iCs/>
                <w:sz w:val="22"/>
                <w:szCs w:val="22"/>
              </w:rPr>
              <w:t xml:space="preserve"> See Tables 2, 3, and 4 in the Appendix.</w:t>
            </w:r>
          </w:p>
          <w:p w:rsidR="00540FAF" w:rsidRPr="00062652" w:rsidRDefault="00540FAF" w:rsidP="00B06360">
            <w:pPr>
              <w:pStyle w:val="ListParagraph"/>
              <w:numPr>
                <w:ilvl w:val="0"/>
                <w:numId w:val="27"/>
              </w:numPr>
              <w:rPr>
                <w:rFonts w:asciiTheme="majorHAnsi" w:hAnsiTheme="majorHAnsi" w:cstheme="majorHAnsi"/>
                <w:color w:val="0070C0"/>
                <w:sz w:val="22"/>
                <w:szCs w:val="22"/>
              </w:rPr>
            </w:pPr>
            <w:r w:rsidRPr="00062652">
              <w:rPr>
                <w:rFonts w:asciiTheme="majorHAnsi" w:hAnsiTheme="majorHAnsi" w:cstheme="majorHAnsi"/>
                <w:iCs/>
                <w:sz w:val="22"/>
                <w:szCs w:val="22"/>
                <w:u w:val="single"/>
              </w:rPr>
              <w:t xml:space="preserve">Goal 1.D.1: </w:t>
            </w:r>
            <w:r w:rsidRPr="00062652">
              <w:rPr>
                <w:rFonts w:asciiTheme="majorHAnsi" w:hAnsiTheme="majorHAnsi" w:cstheme="majorHAnsi"/>
                <w:iCs/>
                <w:sz w:val="22"/>
                <w:szCs w:val="22"/>
              </w:rPr>
              <w:t xml:space="preserve"> Provide quality academic advising experiences with emphasis on effective academic planning, early identification of a major for undergraduates, and a clear pathway to student accountability and self-sufficiency.</w:t>
            </w:r>
          </w:p>
        </w:tc>
      </w:tr>
      <w:tr w:rsidR="00DB546B" w:rsidRPr="00062652" w:rsidTr="00DB546B">
        <w:tc>
          <w:tcPr>
            <w:tcW w:w="2245" w:type="dxa"/>
          </w:tcPr>
          <w:p w:rsidR="00540FAF" w:rsidRPr="00062652" w:rsidRDefault="00540FAF" w:rsidP="003D5D99">
            <w:pPr>
              <w:rPr>
                <w:rFonts w:asciiTheme="majorHAnsi" w:hAnsiTheme="majorHAnsi" w:cstheme="majorHAnsi"/>
                <w:color w:val="0070C0"/>
                <w:sz w:val="22"/>
                <w:szCs w:val="22"/>
              </w:rPr>
            </w:pPr>
            <w:r w:rsidRPr="00062652">
              <w:rPr>
                <w:rFonts w:asciiTheme="majorHAnsi" w:hAnsiTheme="majorHAnsi" w:cstheme="majorHAnsi"/>
                <w:b/>
                <w:bCs/>
                <w:color w:val="000000" w:themeColor="text1"/>
                <w:sz w:val="22"/>
                <w:szCs w:val="22"/>
              </w:rPr>
              <w:t>Primary Point of Contact</w:t>
            </w:r>
          </w:p>
        </w:tc>
        <w:tc>
          <w:tcPr>
            <w:tcW w:w="7105" w:type="dxa"/>
          </w:tcPr>
          <w:p w:rsidR="00540FAF" w:rsidRPr="00062652" w:rsidRDefault="00F14301" w:rsidP="00F14301">
            <w:pPr>
              <w:rPr>
                <w:rFonts w:asciiTheme="majorHAnsi" w:hAnsiTheme="majorHAnsi" w:cstheme="majorHAnsi"/>
                <w:color w:val="0070C0"/>
                <w:sz w:val="22"/>
                <w:szCs w:val="22"/>
              </w:rPr>
            </w:pPr>
            <w:r w:rsidRPr="00062652">
              <w:rPr>
                <w:rFonts w:asciiTheme="majorHAnsi" w:hAnsiTheme="majorHAnsi" w:cstheme="majorHAnsi"/>
                <w:iCs/>
                <w:color w:val="333333"/>
                <w:sz w:val="22"/>
                <w:szCs w:val="22"/>
              </w:rPr>
              <w:t xml:space="preserve">Ms. Carrie Ziglar, Director, Center for Academic Success and Interim Director of the Advising Center, </w:t>
            </w:r>
            <w:hyperlink r:id="rId10" w:history="1">
              <w:r w:rsidRPr="00062652">
                <w:rPr>
                  <w:rStyle w:val="Hyperlink"/>
                  <w:rFonts w:asciiTheme="majorHAnsi" w:hAnsiTheme="majorHAnsi" w:cstheme="majorHAnsi"/>
                  <w:iCs/>
                  <w:sz w:val="22"/>
                  <w:szCs w:val="22"/>
                </w:rPr>
                <w:t>cziglar@westga.edu</w:t>
              </w:r>
            </w:hyperlink>
          </w:p>
        </w:tc>
      </w:tr>
      <w:tr w:rsidR="00DB546B" w:rsidRPr="00062652" w:rsidTr="00DB546B">
        <w:tc>
          <w:tcPr>
            <w:tcW w:w="2245" w:type="dxa"/>
          </w:tcPr>
          <w:p w:rsidR="00540FAF" w:rsidRPr="00062652" w:rsidRDefault="00540FAF" w:rsidP="003D5D99">
            <w:pPr>
              <w:rPr>
                <w:rFonts w:asciiTheme="majorHAnsi" w:hAnsiTheme="majorHAnsi" w:cstheme="majorHAnsi"/>
                <w:color w:val="0070C0"/>
                <w:sz w:val="22"/>
                <w:szCs w:val="22"/>
              </w:rPr>
            </w:pPr>
            <w:r w:rsidRPr="00062652">
              <w:rPr>
                <w:rFonts w:asciiTheme="majorHAnsi" w:hAnsiTheme="majorHAnsi" w:cstheme="majorHAnsi"/>
                <w:b/>
                <w:bCs/>
                <w:color w:val="000000" w:themeColor="text1"/>
                <w:sz w:val="22"/>
                <w:szCs w:val="22"/>
              </w:rPr>
              <w:t>Summary of Activities</w:t>
            </w:r>
          </w:p>
        </w:tc>
        <w:tc>
          <w:tcPr>
            <w:tcW w:w="7105" w:type="dxa"/>
          </w:tcPr>
          <w:p w:rsidR="00750788" w:rsidRPr="00062652" w:rsidRDefault="00750788" w:rsidP="00750788">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A mixed mo</w:t>
            </w:r>
            <w:r w:rsidR="00536760" w:rsidRPr="00062652">
              <w:rPr>
                <w:rFonts w:asciiTheme="majorHAnsi" w:hAnsiTheme="majorHAnsi" w:cstheme="majorHAnsi"/>
                <w:iCs/>
                <w:color w:val="000000" w:themeColor="text1"/>
                <w:sz w:val="22"/>
                <w:szCs w:val="22"/>
              </w:rPr>
              <w:t>del of advising was used in 2017</w:t>
            </w:r>
            <w:r w:rsidRPr="00062652">
              <w:rPr>
                <w:rFonts w:asciiTheme="majorHAnsi" w:hAnsiTheme="majorHAnsi" w:cstheme="majorHAnsi"/>
                <w:iCs/>
                <w:color w:val="000000" w:themeColor="text1"/>
                <w:sz w:val="22"/>
                <w:szCs w:val="22"/>
              </w:rPr>
              <w:t>-201</w:t>
            </w:r>
            <w:r w:rsidR="00536760" w:rsidRPr="00062652">
              <w:rPr>
                <w:rFonts w:asciiTheme="majorHAnsi" w:hAnsiTheme="majorHAnsi" w:cstheme="majorHAnsi"/>
                <w:iCs/>
                <w:color w:val="000000" w:themeColor="text1"/>
                <w:sz w:val="22"/>
                <w:szCs w:val="22"/>
              </w:rPr>
              <w:t>8</w:t>
            </w:r>
            <w:r w:rsidRPr="00062652">
              <w:rPr>
                <w:rFonts w:asciiTheme="majorHAnsi" w:hAnsiTheme="majorHAnsi" w:cstheme="majorHAnsi"/>
                <w:iCs/>
                <w:color w:val="000000" w:themeColor="text1"/>
                <w:sz w:val="22"/>
                <w:szCs w:val="22"/>
              </w:rPr>
              <w:t xml:space="preserve">.   </w:t>
            </w:r>
          </w:p>
          <w:p w:rsidR="00C565F9" w:rsidRPr="00062652" w:rsidRDefault="00C565F9" w:rsidP="00750788">
            <w:pPr>
              <w:pStyle w:val="ListParagraph"/>
              <w:numPr>
                <w:ilvl w:val="0"/>
                <w:numId w:val="31"/>
              </w:num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 xml:space="preserve">Most students in the </w:t>
            </w:r>
            <w:r w:rsidR="00540FAF" w:rsidRPr="00062652">
              <w:rPr>
                <w:rFonts w:asciiTheme="majorHAnsi" w:hAnsiTheme="majorHAnsi" w:cstheme="majorHAnsi"/>
                <w:iCs/>
                <w:color w:val="000000" w:themeColor="text1"/>
                <w:sz w:val="22"/>
                <w:szCs w:val="22"/>
              </w:rPr>
              <w:t>College of Arts and Humanities and College of Science and Math were advised by Professional Advisors</w:t>
            </w:r>
            <w:r w:rsidRPr="00062652">
              <w:rPr>
                <w:rFonts w:asciiTheme="majorHAnsi" w:hAnsiTheme="majorHAnsi" w:cstheme="majorHAnsi"/>
                <w:iCs/>
                <w:color w:val="000000" w:themeColor="text1"/>
                <w:sz w:val="22"/>
                <w:szCs w:val="22"/>
              </w:rPr>
              <w:t xml:space="preserve"> until they earned up to 60 credit hours.</w:t>
            </w:r>
            <w:r w:rsidR="00540FAF" w:rsidRPr="00062652">
              <w:rPr>
                <w:rFonts w:asciiTheme="majorHAnsi" w:hAnsiTheme="majorHAnsi" w:cstheme="majorHAnsi"/>
                <w:iCs/>
                <w:color w:val="000000" w:themeColor="text1"/>
                <w:sz w:val="22"/>
                <w:szCs w:val="22"/>
              </w:rPr>
              <w:t xml:space="preserve">  </w:t>
            </w:r>
            <w:r w:rsidR="00750788" w:rsidRPr="00062652">
              <w:rPr>
                <w:rFonts w:asciiTheme="majorHAnsi" w:hAnsiTheme="majorHAnsi" w:cstheme="majorHAnsi"/>
                <w:iCs/>
                <w:color w:val="000000" w:themeColor="text1"/>
                <w:sz w:val="22"/>
                <w:szCs w:val="22"/>
              </w:rPr>
              <w:t>After 60 hours, these students were advised by faculty in their departments.</w:t>
            </w:r>
          </w:p>
          <w:p w:rsidR="00C565F9" w:rsidRPr="00062652" w:rsidRDefault="00540FAF" w:rsidP="00C565F9">
            <w:pPr>
              <w:pStyle w:val="ListParagraph"/>
              <w:numPr>
                <w:ilvl w:val="0"/>
                <w:numId w:val="30"/>
              </w:num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Student</w:t>
            </w:r>
            <w:r w:rsidR="00750788" w:rsidRPr="00062652">
              <w:rPr>
                <w:rFonts w:asciiTheme="majorHAnsi" w:hAnsiTheme="majorHAnsi" w:cstheme="majorHAnsi"/>
                <w:iCs/>
                <w:color w:val="000000" w:themeColor="text1"/>
                <w:sz w:val="22"/>
                <w:szCs w:val="22"/>
              </w:rPr>
              <w:t>s</w:t>
            </w:r>
            <w:r w:rsidRPr="00062652">
              <w:rPr>
                <w:rFonts w:asciiTheme="majorHAnsi" w:hAnsiTheme="majorHAnsi" w:cstheme="majorHAnsi"/>
                <w:iCs/>
                <w:color w:val="000000" w:themeColor="text1"/>
                <w:sz w:val="22"/>
                <w:szCs w:val="22"/>
              </w:rPr>
              <w:t xml:space="preserve"> majoring in Music, Theatre, Art, Geosciences, and Physics were advised by Professional Advisors</w:t>
            </w:r>
            <w:r w:rsidR="00C565F9" w:rsidRPr="00062652">
              <w:rPr>
                <w:rFonts w:asciiTheme="majorHAnsi" w:hAnsiTheme="majorHAnsi" w:cstheme="majorHAnsi"/>
                <w:iCs/>
                <w:color w:val="000000" w:themeColor="text1"/>
                <w:sz w:val="22"/>
                <w:szCs w:val="22"/>
              </w:rPr>
              <w:t xml:space="preserve"> until they earned 30 credit hours</w:t>
            </w:r>
            <w:r w:rsidR="002B1024" w:rsidRPr="00062652">
              <w:rPr>
                <w:rFonts w:asciiTheme="majorHAnsi" w:hAnsiTheme="majorHAnsi" w:cstheme="majorHAnsi"/>
                <w:iCs/>
                <w:color w:val="000000" w:themeColor="text1"/>
                <w:sz w:val="22"/>
                <w:szCs w:val="22"/>
              </w:rPr>
              <w:t>. After 30 hours, these students were advised by faculty in the academic departments.</w:t>
            </w:r>
          </w:p>
          <w:p w:rsidR="000D5C60" w:rsidRPr="00062652" w:rsidRDefault="00540FAF" w:rsidP="000556A3">
            <w:pPr>
              <w:pStyle w:val="ListParagraph"/>
              <w:numPr>
                <w:ilvl w:val="0"/>
                <w:numId w:val="30"/>
              </w:num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All Undeclared majors were advised in the Advising Center.</w:t>
            </w:r>
          </w:p>
          <w:p w:rsidR="00BF3ABD" w:rsidRPr="00062652" w:rsidRDefault="00BF3ABD" w:rsidP="00184A84">
            <w:pPr>
              <w:rPr>
                <w:rFonts w:asciiTheme="majorHAnsi" w:hAnsiTheme="majorHAnsi" w:cstheme="majorHAnsi"/>
                <w:iCs/>
                <w:color w:val="000000" w:themeColor="text1"/>
                <w:sz w:val="22"/>
                <w:szCs w:val="22"/>
              </w:rPr>
            </w:pPr>
          </w:p>
          <w:p w:rsidR="00540FAF" w:rsidRPr="00062652" w:rsidRDefault="00BF3ABD" w:rsidP="00BF3ABD">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Prior to 2017-2018, the Advising Center’s Professional Advisors worked with the College of Social Science</w:t>
            </w:r>
            <w:r w:rsidR="00451313" w:rsidRPr="00062652">
              <w:rPr>
                <w:rFonts w:asciiTheme="majorHAnsi" w:hAnsiTheme="majorHAnsi" w:cstheme="majorHAnsi"/>
                <w:iCs/>
                <w:color w:val="000000" w:themeColor="text1"/>
                <w:sz w:val="22"/>
                <w:szCs w:val="22"/>
              </w:rPr>
              <w:t>s</w:t>
            </w:r>
            <w:r w:rsidRPr="00062652">
              <w:rPr>
                <w:rFonts w:asciiTheme="majorHAnsi" w:hAnsiTheme="majorHAnsi" w:cstheme="majorHAnsi"/>
                <w:iCs/>
                <w:color w:val="000000" w:themeColor="text1"/>
                <w:sz w:val="22"/>
                <w:szCs w:val="22"/>
              </w:rPr>
              <w:t xml:space="preserve"> (COSS) freshman and sophomores, while faculty advised the majors (juniors and seniors). </w:t>
            </w:r>
            <w:r w:rsidR="000D5C60" w:rsidRPr="00062652">
              <w:rPr>
                <w:rFonts w:asciiTheme="majorHAnsi" w:hAnsiTheme="majorHAnsi" w:cstheme="majorHAnsi"/>
                <w:iCs/>
                <w:color w:val="000000" w:themeColor="text1"/>
                <w:sz w:val="22"/>
                <w:szCs w:val="22"/>
              </w:rPr>
              <w:t>Beginning in Fall 2017, all C</w:t>
            </w:r>
            <w:r w:rsidR="00451313" w:rsidRPr="00062652">
              <w:rPr>
                <w:rFonts w:asciiTheme="majorHAnsi" w:hAnsiTheme="majorHAnsi" w:cstheme="majorHAnsi"/>
                <w:iCs/>
                <w:color w:val="000000" w:themeColor="text1"/>
                <w:sz w:val="22"/>
                <w:szCs w:val="22"/>
              </w:rPr>
              <w:t>OSS</w:t>
            </w:r>
            <w:r w:rsidR="00536760" w:rsidRPr="00062652">
              <w:rPr>
                <w:rFonts w:asciiTheme="majorHAnsi" w:hAnsiTheme="majorHAnsi" w:cstheme="majorHAnsi"/>
                <w:iCs/>
                <w:color w:val="000000" w:themeColor="text1"/>
                <w:sz w:val="22"/>
                <w:szCs w:val="22"/>
              </w:rPr>
              <w:t xml:space="preserve"> </w:t>
            </w:r>
            <w:r w:rsidRPr="00062652">
              <w:rPr>
                <w:rFonts w:asciiTheme="majorHAnsi" w:hAnsiTheme="majorHAnsi" w:cstheme="majorHAnsi"/>
                <w:iCs/>
                <w:color w:val="000000" w:themeColor="text1"/>
                <w:sz w:val="22"/>
                <w:szCs w:val="22"/>
              </w:rPr>
              <w:t xml:space="preserve">undergraduate </w:t>
            </w:r>
            <w:r w:rsidR="000D5C60" w:rsidRPr="00062652">
              <w:rPr>
                <w:rFonts w:asciiTheme="majorHAnsi" w:hAnsiTheme="majorHAnsi" w:cstheme="majorHAnsi"/>
                <w:iCs/>
                <w:color w:val="000000" w:themeColor="text1"/>
                <w:sz w:val="22"/>
                <w:szCs w:val="22"/>
              </w:rPr>
              <w:t xml:space="preserve">students </w:t>
            </w:r>
            <w:r w:rsidR="00536760" w:rsidRPr="00062652">
              <w:rPr>
                <w:rFonts w:asciiTheme="majorHAnsi" w:hAnsiTheme="majorHAnsi" w:cstheme="majorHAnsi"/>
                <w:iCs/>
                <w:color w:val="000000" w:themeColor="text1"/>
                <w:sz w:val="22"/>
                <w:szCs w:val="22"/>
              </w:rPr>
              <w:t xml:space="preserve">were advised by </w:t>
            </w:r>
            <w:r w:rsidR="000D5C60" w:rsidRPr="00062652">
              <w:rPr>
                <w:rFonts w:asciiTheme="majorHAnsi" w:hAnsiTheme="majorHAnsi" w:cstheme="majorHAnsi"/>
                <w:iCs/>
                <w:color w:val="000000" w:themeColor="text1"/>
                <w:sz w:val="22"/>
                <w:szCs w:val="22"/>
              </w:rPr>
              <w:t>Professional Advisor</w:t>
            </w:r>
            <w:r w:rsidRPr="00062652">
              <w:rPr>
                <w:rFonts w:asciiTheme="majorHAnsi" w:hAnsiTheme="majorHAnsi" w:cstheme="majorHAnsi"/>
                <w:iCs/>
                <w:color w:val="000000" w:themeColor="text1"/>
                <w:sz w:val="22"/>
                <w:szCs w:val="22"/>
              </w:rPr>
              <w:t xml:space="preserve">s in the </w:t>
            </w:r>
            <w:r w:rsidRPr="00062652">
              <w:rPr>
                <w:rFonts w:asciiTheme="majorHAnsi" w:hAnsiTheme="majorHAnsi" w:cstheme="majorHAnsi"/>
                <w:iCs/>
                <w:color w:val="000000" w:themeColor="text1"/>
                <w:sz w:val="22"/>
                <w:szCs w:val="22"/>
              </w:rPr>
              <w:lastRenderedPageBreak/>
              <w:t>Advising Center</w:t>
            </w:r>
            <w:r w:rsidR="00184A84" w:rsidRPr="00062652">
              <w:rPr>
                <w:rFonts w:asciiTheme="majorHAnsi" w:hAnsiTheme="majorHAnsi" w:cstheme="majorHAnsi"/>
                <w:iCs/>
                <w:color w:val="000000" w:themeColor="text1"/>
                <w:sz w:val="22"/>
                <w:szCs w:val="22"/>
              </w:rPr>
              <w:t xml:space="preserve">. </w:t>
            </w:r>
            <w:r w:rsidRPr="00062652">
              <w:rPr>
                <w:rFonts w:asciiTheme="majorHAnsi" w:hAnsiTheme="majorHAnsi" w:cstheme="majorHAnsi"/>
                <w:iCs/>
                <w:color w:val="000000" w:themeColor="text1"/>
                <w:sz w:val="22"/>
                <w:szCs w:val="22"/>
              </w:rPr>
              <w:t xml:space="preserve">Further, COSS juniors and seniors had the opportunity to meet </w:t>
            </w:r>
            <w:r w:rsidR="00451313" w:rsidRPr="00062652">
              <w:rPr>
                <w:rFonts w:asciiTheme="majorHAnsi" w:hAnsiTheme="majorHAnsi" w:cstheme="majorHAnsi"/>
                <w:iCs/>
                <w:color w:val="000000" w:themeColor="text1"/>
                <w:sz w:val="22"/>
                <w:szCs w:val="22"/>
              </w:rPr>
              <w:t xml:space="preserve">with faculty members in </w:t>
            </w:r>
            <w:r w:rsidRPr="00062652">
              <w:rPr>
                <w:rFonts w:asciiTheme="majorHAnsi" w:hAnsiTheme="majorHAnsi" w:cstheme="majorHAnsi"/>
                <w:iCs/>
                <w:color w:val="000000" w:themeColor="text1"/>
                <w:sz w:val="22"/>
                <w:szCs w:val="22"/>
              </w:rPr>
              <w:t>a mentoring relationship, althoug</w:t>
            </w:r>
            <w:r w:rsidR="00451313" w:rsidRPr="00062652">
              <w:rPr>
                <w:rFonts w:asciiTheme="majorHAnsi" w:hAnsiTheme="majorHAnsi" w:cstheme="majorHAnsi"/>
                <w:iCs/>
                <w:color w:val="000000" w:themeColor="text1"/>
                <w:sz w:val="22"/>
                <w:szCs w:val="22"/>
              </w:rPr>
              <w:t>h the faculty mentoring</w:t>
            </w:r>
            <w:r w:rsidRPr="00062652">
              <w:rPr>
                <w:rFonts w:asciiTheme="majorHAnsi" w:hAnsiTheme="majorHAnsi" w:cstheme="majorHAnsi"/>
                <w:iCs/>
                <w:color w:val="000000" w:themeColor="text1"/>
                <w:sz w:val="22"/>
                <w:szCs w:val="22"/>
              </w:rPr>
              <w:t xml:space="preserve"> model is just beginning to develop. </w:t>
            </w:r>
          </w:p>
        </w:tc>
      </w:tr>
      <w:tr w:rsidR="00151EF8" w:rsidRPr="00062652" w:rsidTr="002F7B49">
        <w:tc>
          <w:tcPr>
            <w:tcW w:w="9350" w:type="dxa"/>
            <w:gridSpan w:val="2"/>
          </w:tcPr>
          <w:p w:rsidR="00151EF8" w:rsidRPr="00062652" w:rsidRDefault="00151EF8" w:rsidP="003D5D99">
            <w:pPr>
              <w:rPr>
                <w:rFonts w:asciiTheme="majorHAnsi" w:hAnsiTheme="majorHAnsi" w:cstheme="majorHAnsi"/>
                <w:color w:val="0070C0"/>
                <w:sz w:val="22"/>
                <w:szCs w:val="22"/>
              </w:rPr>
            </w:pPr>
            <w:r w:rsidRPr="00062652">
              <w:rPr>
                <w:rFonts w:asciiTheme="majorHAnsi" w:hAnsiTheme="majorHAnsi" w:cstheme="majorHAnsi"/>
                <w:b/>
                <w:bCs/>
                <w:color w:val="000000" w:themeColor="text1"/>
                <w:sz w:val="22"/>
                <w:szCs w:val="22"/>
              </w:rPr>
              <w:lastRenderedPageBreak/>
              <w:t>Measures of Progress and Success</w:t>
            </w:r>
          </w:p>
        </w:tc>
      </w:tr>
      <w:tr w:rsidR="00DB546B" w:rsidRPr="00062652" w:rsidTr="00DB546B">
        <w:tc>
          <w:tcPr>
            <w:tcW w:w="2245" w:type="dxa"/>
          </w:tcPr>
          <w:p w:rsidR="00DB546B" w:rsidRPr="00062652" w:rsidRDefault="00DB546B" w:rsidP="003D5D99">
            <w:pPr>
              <w:rPr>
                <w:rFonts w:asciiTheme="majorHAnsi" w:hAnsiTheme="majorHAnsi" w:cstheme="majorHAnsi"/>
                <w:color w:val="0070C0"/>
                <w:sz w:val="22"/>
                <w:szCs w:val="22"/>
              </w:rPr>
            </w:pPr>
            <w:r w:rsidRPr="00062652">
              <w:rPr>
                <w:rFonts w:asciiTheme="majorHAnsi" w:hAnsiTheme="majorHAnsi" w:cstheme="majorHAnsi"/>
                <w:b/>
                <w:bCs/>
                <w:color w:val="000000" w:themeColor="text1"/>
                <w:sz w:val="22"/>
                <w:szCs w:val="22"/>
              </w:rPr>
              <w:t>Measure, metric, or data element</w:t>
            </w:r>
          </w:p>
        </w:tc>
        <w:tc>
          <w:tcPr>
            <w:tcW w:w="7105" w:type="dxa"/>
          </w:tcPr>
          <w:p w:rsidR="00DB546B" w:rsidRPr="00062652" w:rsidRDefault="00DB546B" w:rsidP="002F7B49">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 xml:space="preserve">Full-time, degree-seeking undergraduate students </w:t>
            </w:r>
            <w:r w:rsidR="008F5540" w:rsidRPr="00062652">
              <w:rPr>
                <w:rFonts w:asciiTheme="majorHAnsi" w:hAnsiTheme="majorHAnsi" w:cstheme="majorHAnsi"/>
                <w:iCs/>
                <w:color w:val="000000" w:themeColor="text1"/>
                <w:sz w:val="22"/>
                <w:szCs w:val="22"/>
              </w:rPr>
              <w:t xml:space="preserve">who were </w:t>
            </w:r>
            <w:r w:rsidRPr="00062652">
              <w:rPr>
                <w:rFonts w:asciiTheme="majorHAnsi" w:hAnsiTheme="majorHAnsi" w:cstheme="majorHAnsi"/>
                <w:iCs/>
                <w:color w:val="000000" w:themeColor="text1"/>
                <w:sz w:val="22"/>
                <w:szCs w:val="22"/>
              </w:rPr>
              <w:t>advised in the Advising Center:</w:t>
            </w:r>
          </w:p>
          <w:p w:rsidR="00DB546B" w:rsidRPr="00062652" w:rsidRDefault="00DB546B" w:rsidP="002F7B49">
            <w:pPr>
              <w:rPr>
                <w:rFonts w:asciiTheme="majorHAnsi" w:hAnsiTheme="majorHAnsi" w:cstheme="majorHAnsi"/>
                <w:iCs/>
                <w:color w:val="000000" w:themeColor="text1"/>
                <w:sz w:val="22"/>
                <w:szCs w:val="22"/>
              </w:rPr>
            </w:pPr>
          </w:p>
          <w:p w:rsidR="00DB546B" w:rsidRPr="00062652" w:rsidRDefault="00DB546B" w:rsidP="002F7B49">
            <w:pPr>
              <w:rPr>
                <w:rFonts w:asciiTheme="majorHAnsi" w:hAnsiTheme="majorHAnsi" w:cstheme="majorHAnsi"/>
                <w:iCs/>
                <w:color w:val="000000" w:themeColor="text1"/>
                <w:sz w:val="22"/>
                <w:szCs w:val="22"/>
              </w:rPr>
            </w:pPr>
            <w:r w:rsidRPr="00062652">
              <w:rPr>
                <w:rFonts w:asciiTheme="majorHAnsi" w:hAnsiTheme="majorHAnsi" w:cstheme="majorHAnsi"/>
                <w:iCs/>
                <w:color w:val="000000" w:themeColor="text1"/>
                <w:sz w:val="22"/>
                <w:szCs w:val="22"/>
              </w:rPr>
              <w:t>Baseline a</w:t>
            </w:r>
            <w:r w:rsidR="00451313" w:rsidRPr="00062652">
              <w:rPr>
                <w:rFonts w:asciiTheme="majorHAnsi" w:hAnsiTheme="majorHAnsi" w:cstheme="majorHAnsi"/>
                <w:iCs/>
                <w:color w:val="000000" w:themeColor="text1"/>
                <w:sz w:val="22"/>
                <w:szCs w:val="22"/>
              </w:rPr>
              <w:t>nd Interim Measures of Progress</w:t>
            </w:r>
          </w:p>
          <w:p w:rsidR="00DB546B" w:rsidRPr="00062652" w:rsidRDefault="00DB546B" w:rsidP="002F7B49">
            <w:pPr>
              <w:pStyle w:val="ListParagraph"/>
              <w:numPr>
                <w:ilvl w:val="0"/>
                <w:numId w:val="12"/>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Percentage of students who return the following year.</w:t>
            </w:r>
          </w:p>
          <w:p w:rsidR="00DB546B" w:rsidRPr="00062652" w:rsidRDefault="00DB546B" w:rsidP="002F7B49">
            <w:pPr>
              <w:pStyle w:val="ListParagraph"/>
              <w:numPr>
                <w:ilvl w:val="0"/>
                <w:numId w:val="12"/>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Percentage of students attempting 30+ credit hours in one year (Fall, Spring, Summer).</w:t>
            </w:r>
          </w:p>
          <w:p w:rsidR="00DB546B" w:rsidRPr="00062652" w:rsidRDefault="00DB546B" w:rsidP="002F7B49">
            <w:pPr>
              <w:pStyle w:val="ListParagraph"/>
              <w:numPr>
                <w:ilvl w:val="0"/>
                <w:numId w:val="12"/>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Percentage of students earning 30+ credit hours in one year (Fall, Spring, Summer).</w:t>
            </w:r>
          </w:p>
          <w:p w:rsidR="00DB546B" w:rsidRPr="00062652" w:rsidRDefault="00DB546B" w:rsidP="00DB546B">
            <w:pPr>
              <w:pStyle w:val="ListParagraph"/>
              <w:numPr>
                <w:ilvl w:val="0"/>
                <w:numId w:val="12"/>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 xml:space="preserve">Credit hour completion rate (passing grades) </w:t>
            </w:r>
          </w:p>
          <w:p w:rsidR="00DB546B" w:rsidRPr="00062652" w:rsidRDefault="00451313" w:rsidP="00DB546B">
            <w:p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Measures of Success</w:t>
            </w:r>
          </w:p>
          <w:p w:rsidR="00DB546B" w:rsidRPr="00062652" w:rsidRDefault="00DB546B" w:rsidP="003D5D99">
            <w:pPr>
              <w:pStyle w:val="ListParagraph"/>
              <w:numPr>
                <w:ilvl w:val="0"/>
                <w:numId w:val="22"/>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Reduced excess credits at graduation</w:t>
            </w:r>
          </w:p>
          <w:p w:rsidR="00DB546B" w:rsidRPr="00062652" w:rsidRDefault="00DB546B" w:rsidP="003D5D99">
            <w:pPr>
              <w:pStyle w:val="ListParagraph"/>
              <w:numPr>
                <w:ilvl w:val="0"/>
                <w:numId w:val="22"/>
              </w:numPr>
              <w:rPr>
                <w:rFonts w:asciiTheme="majorHAnsi" w:hAnsiTheme="majorHAnsi" w:cstheme="majorHAnsi"/>
                <w:color w:val="000000" w:themeColor="text1"/>
                <w:sz w:val="22"/>
                <w:szCs w:val="22"/>
              </w:rPr>
            </w:pPr>
            <w:r w:rsidRPr="00062652">
              <w:rPr>
                <w:rFonts w:asciiTheme="majorHAnsi" w:hAnsiTheme="majorHAnsi" w:cstheme="majorHAnsi"/>
                <w:iCs/>
                <w:color w:val="000000" w:themeColor="text1"/>
                <w:sz w:val="22"/>
                <w:szCs w:val="22"/>
              </w:rPr>
              <w:t>Improved graduation rates</w:t>
            </w:r>
          </w:p>
        </w:tc>
      </w:tr>
      <w:tr w:rsidR="00DB546B" w:rsidRPr="00062652" w:rsidTr="00DB546B">
        <w:tc>
          <w:tcPr>
            <w:tcW w:w="2245" w:type="dxa"/>
          </w:tcPr>
          <w:p w:rsidR="00DB546B" w:rsidRPr="00062652" w:rsidRDefault="00DB546B" w:rsidP="003D5D99">
            <w:pPr>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Baseline measures</w:t>
            </w:r>
          </w:p>
          <w:p w:rsidR="00C95371" w:rsidRPr="00062652" w:rsidRDefault="00C95371" w:rsidP="003D5D99">
            <w:pPr>
              <w:rPr>
                <w:rFonts w:asciiTheme="majorHAnsi" w:hAnsiTheme="majorHAnsi" w:cstheme="majorHAnsi"/>
                <w:color w:val="000000" w:themeColor="text1"/>
                <w:sz w:val="22"/>
                <w:szCs w:val="22"/>
              </w:rPr>
            </w:pPr>
            <w:r w:rsidRPr="00062652">
              <w:rPr>
                <w:rFonts w:asciiTheme="majorHAnsi" w:hAnsiTheme="majorHAnsi" w:cstheme="majorHAnsi"/>
                <w:b/>
                <w:bCs/>
                <w:color w:val="000000" w:themeColor="text1"/>
                <w:sz w:val="22"/>
                <w:szCs w:val="22"/>
              </w:rPr>
              <w:t>2014-2015</w:t>
            </w:r>
          </w:p>
        </w:tc>
        <w:tc>
          <w:tcPr>
            <w:tcW w:w="7105" w:type="dxa"/>
          </w:tcPr>
          <w:p w:rsidR="00DB546B" w:rsidRPr="00062652" w:rsidRDefault="00DB546B" w:rsidP="002F7B49">
            <w:pPr>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In the 2014-2015 academic year, </w:t>
            </w:r>
            <w:r w:rsidR="009739F7" w:rsidRPr="00062652">
              <w:rPr>
                <w:rFonts w:asciiTheme="majorHAnsi" w:hAnsiTheme="majorHAnsi" w:cstheme="majorHAnsi"/>
                <w:color w:val="000000" w:themeColor="text1"/>
                <w:sz w:val="22"/>
                <w:szCs w:val="22"/>
              </w:rPr>
              <w:t xml:space="preserve">first-time, </w:t>
            </w:r>
            <w:r w:rsidRPr="00062652">
              <w:rPr>
                <w:rFonts w:asciiTheme="majorHAnsi" w:hAnsiTheme="majorHAnsi" w:cstheme="majorHAnsi"/>
                <w:color w:val="000000" w:themeColor="text1"/>
                <w:sz w:val="22"/>
                <w:szCs w:val="22"/>
              </w:rPr>
              <w:t>full-time, degree-seeking undergraduates served by the Advising Center achieved the following results:</w:t>
            </w:r>
          </w:p>
          <w:p w:rsidR="00DB546B" w:rsidRPr="00062652" w:rsidRDefault="00DB546B" w:rsidP="002F7B4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73% of students were retained Fall 2014 to Fall 2015.</w:t>
            </w:r>
          </w:p>
          <w:p w:rsidR="00DB546B" w:rsidRPr="00062652" w:rsidRDefault="00DB546B" w:rsidP="002F7B4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46% of students attempted 30+ hours in one year (Fall, Spring, Summer).</w:t>
            </w:r>
          </w:p>
          <w:p w:rsidR="00DB546B" w:rsidRPr="00062652" w:rsidRDefault="00DB546B" w:rsidP="003D5D9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34% of students earned 30+ hours in one year (Fall, Spring Summer).</w:t>
            </w:r>
          </w:p>
          <w:p w:rsidR="00DB546B" w:rsidRPr="00062652" w:rsidRDefault="00DB546B" w:rsidP="003D5D9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Students completed 90% of total attempted hours (i.e., earned passing grades).</w:t>
            </w:r>
          </w:p>
        </w:tc>
      </w:tr>
      <w:tr w:rsidR="00DB546B" w:rsidRPr="00062652" w:rsidTr="00DB546B">
        <w:tc>
          <w:tcPr>
            <w:tcW w:w="2245" w:type="dxa"/>
          </w:tcPr>
          <w:p w:rsidR="00DB546B" w:rsidRPr="00062652" w:rsidRDefault="00DB546B" w:rsidP="003D5D99">
            <w:pPr>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Interim Measures of Progress</w:t>
            </w:r>
          </w:p>
          <w:p w:rsidR="002A3D9B" w:rsidRPr="00062652" w:rsidRDefault="002A3D9B" w:rsidP="003D5D99">
            <w:pPr>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2016-2017</w:t>
            </w:r>
          </w:p>
          <w:p w:rsidR="002A3D9B" w:rsidRPr="00062652" w:rsidRDefault="002A3D9B" w:rsidP="003D5D99">
            <w:pPr>
              <w:rPr>
                <w:rFonts w:asciiTheme="majorHAnsi" w:hAnsiTheme="majorHAnsi" w:cstheme="majorHAnsi"/>
                <w:color w:val="000000" w:themeColor="text1"/>
                <w:sz w:val="22"/>
                <w:szCs w:val="22"/>
              </w:rPr>
            </w:pPr>
            <w:r w:rsidRPr="00062652">
              <w:rPr>
                <w:rFonts w:asciiTheme="majorHAnsi" w:hAnsiTheme="majorHAnsi" w:cstheme="majorHAnsi"/>
                <w:b/>
                <w:bCs/>
                <w:color w:val="000000" w:themeColor="text1"/>
                <w:sz w:val="22"/>
                <w:szCs w:val="22"/>
              </w:rPr>
              <w:t>2017-2018</w:t>
            </w:r>
          </w:p>
        </w:tc>
        <w:tc>
          <w:tcPr>
            <w:tcW w:w="7105" w:type="dxa"/>
          </w:tcPr>
          <w:p w:rsidR="00DB546B" w:rsidRPr="00062652" w:rsidRDefault="00DB546B" w:rsidP="002F7B49">
            <w:pPr>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In the 2016-2017 academic year, </w:t>
            </w:r>
            <w:r w:rsidR="009739F7" w:rsidRPr="00062652">
              <w:rPr>
                <w:rFonts w:asciiTheme="majorHAnsi" w:hAnsiTheme="majorHAnsi" w:cstheme="majorHAnsi"/>
                <w:color w:val="000000" w:themeColor="text1"/>
                <w:sz w:val="22"/>
                <w:szCs w:val="22"/>
              </w:rPr>
              <w:t xml:space="preserve">first-time, </w:t>
            </w:r>
            <w:r w:rsidRPr="00062652">
              <w:rPr>
                <w:rFonts w:asciiTheme="majorHAnsi" w:hAnsiTheme="majorHAnsi" w:cstheme="majorHAnsi"/>
                <w:color w:val="000000" w:themeColor="text1"/>
                <w:sz w:val="22"/>
                <w:szCs w:val="22"/>
              </w:rPr>
              <w:t>full-time, degree-seeking undergraduates served by the Advising Center achieved the following results:</w:t>
            </w:r>
          </w:p>
          <w:p w:rsidR="00DB546B" w:rsidRPr="00062652" w:rsidRDefault="00D9036E" w:rsidP="002F7B4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72.4% </w:t>
            </w:r>
            <w:r w:rsidR="00DB546B" w:rsidRPr="00062652">
              <w:rPr>
                <w:rFonts w:asciiTheme="majorHAnsi" w:hAnsiTheme="majorHAnsi" w:cstheme="majorHAnsi"/>
                <w:color w:val="000000" w:themeColor="text1"/>
                <w:sz w:val="22"/>
                <w:szCs w:val="22"/>
              </w:rPr>
              <w:t xml:space="preserve">of students were retained Fall 2016 to Fall 2017 </w:t>
            </w:r>
          </w:p>
          <w:p w:rsidR="00DB546B" w:rsidRPr="00062652" w:rsidRDefault="00DB546B" w:rsidP="002F7B4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4</w:t>
            </w:r>
            <w:r w:rsidR="00D9036E" w:rsidRPr="00062652">
              <w:rPr>
                <w:rFonts w:asciiTheme="majorHAnsi" w:hAnsiTheme="majorHAnsi" w:cstheme="majorHAnsi"/>
                <w:color w:val="000000" w:themeColor="text1"/>
                <w:sz w:val="22"/>
                <w:szCs w:val="22"/>
              </w:rPr>
              <w:t>4</w:t>
            </w:r>
            <w:r w:rsidRPr="00062652">
              <w:rPr>
                <w:rFonts w:asciiTheme="majorHAnsi" w:hAnsiTheme="majorHAnsi" w:cstheme="majorHAnsi"/>
                <w:color w:val="000000" w:themeColor="text1"/>
                <w:sz w:val="22"/>
                <w:szCs w:val="22"/>
              </w:rPr>
              <w:t>% of students attempted 30+ hours in one year (Fall, Spring, Summer)</w:t>
            </w:r>
          </w:p>
          <w:p w:rsidR="00DB546B" w:rsidRPr="00062652" w:rsidRDefault="000D5C60" w:rsidP="003D5D9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30</w:t>
            </w:r>
            <w:r w:rsidR="00DB546B" w:rsidRPr="00062652">
              <w:rPr>
                <w:rFonts w:asciiTheme="majorHAnsi" w:hAnsiTheme="majorHAnsi" w:cstheme="majorHAnsi"/>
                <w:color w:val="000000" w:themeColor="text1"/>
                <w:sz w:val="22"/>
                <w:szCs w:val="22"/>
              </w:rPr>
              <w:t>% of students earned 30+ hours in one year (Fall, Spring Summer)</w:t>
            </w:r>
          </w:p>
          <w:p w:rsidR="00DB546B" w:rsidRPr="00062652" w:rsidRDefault="000D5C60" w:rsidP="003D5D99">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Students completed 86</w:t>
            </w:r>
            <w:r w:rsidR="00DB546B" w:rsidRPr="00062652">
              <w:rPr>
                <w:rFonts w:asciiTheme="majorHAnsi" w:hAnsiTheme="majorHAnsi" w:cstheme="majorHAnsi"/>
                <w:color w:val="000000" w:themeColor="text1"/>
                <w:sz w:val="22"/>
                <w:szCs w:val="22"/>
              </w:rPr>
              <w:t>% of total attempted hours (i.e., earned passing grades).</w:t>
            </w:r>
          </w:p>
          <w:p w:rsidR="000556A3" w:rsidRPr="00062652" w:rsidRDefault="000556A3" w:rsidP="003F004A">
            <w:pPr>
              <w:rPr>
                <w:rFonts w:asciiTheme="majorHAnsi" w:hAnsiTheme="majorHAnsi" w:cstheme="majorHAnsi"/>
                <w:color w:val="000000" w:themeColor="text1"/>
                <w:sz w:val="22"/>
                <w:szCs w:val="22"/>
              </w:rPr>
            </w:pPr>
          </w:p>
          <w:p w:rsidR="003F004A" w:rsidRPr="00062652" w:rsidRDefault="003F004A" w:rsidP="003F004A">
            <w:pPr>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In the 2017-2018 academic year, first-time, full-time, degree-seeking undergraduates served by the Advising Center achieved the following results</w:t>
            </w:r>
            <w:r w:rsidR="00C40697" w:rsidRPr="00062652">
              <w:rPr>
                <w:rFonts w:asciiTheme="majorHAnsi" w:hAnsiTheme="majorHAnsi" w:cstheme="majorHAnsi"/>
                <w:color w:val="000000" w:themeColor="text1"/>
                <w:sz w:val="22"/>
                <w:szCs w:val="22"/>
              </w:rPr>
              <w:t xml:space="preserve"> (most data for this section are not available yet)</w:t>
            </w:r>
            <w:r w:rsidRPr="00062652">
              <w:rPr>
                <w:rFonts w:asciiTheme="majorHAnsi" w:hAnsiTheme="majorHAnsi" w:cstheme="majorHAnsi"/>
                <w:color w:val="000000" w:themeColor="text1"/>
                <w:sz w:val="22"/>
                <w:szCs w:val="22"/>
              </w:rPr>
              <w:t>:</w:t>
            </w:r>
          </w:p>
          <w:p w:rsidR="003F004A" w:rsidRPr="00062652" w:rsidRDefault="00F14301" w:rsidP="003F004A">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70.2</w:t>
            </w:r>
            <w:r w:rsidR="003F004A" w:rsidRPr="00062652">
              <w:rPr>
                <w:rFonts w:asciiTheme="majorHAnsi" w:hAnsiTheme="majorHAnsi" w:cstheme="majorHAnsi"/>
                <w:color w:val="000000" w:themeColor="text1"/>
                <w:sz w:val="22"/>
                <w:szCs w:val="22"/>
              </w:rPr>
              <w:t xml:space="preserve">% of students were retained Fall 2017 </w:t>
            </w:r>
            <w:r w:rsidRPr="00062652">
              <w:rPr>
                <w:rFonts w:asciiTheme="majorHAnsi" w:hAnsiTheme="majorHAnsi" w:cstheme="majorHAnsi"/>
                <w:color w:val="000000" w:themeColor="text1"/>
                <w:sz w:val="22"/>
                <w:szCs w:val="22"/>
              </w:rPr>
              <w:t>to Fall 2018.</w:t>
            </w:r>
          </w:p>
          <w:p w:rsidR="003F004A" w:rsidRPr="00062652" w:rsidRDefault="003F004A" w:rsidP="003F004A">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44% of students attempted 30+ hours in one year (Fall, Spring, Summer)</w:t>
            </w:r>
          </w:p>
          <w:p w:rsidR="003F004A" w:rsidRPr="00062652" w:rsidRDefault="00F14301" w:rsidP="003F004A">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15.9</w:t>
            </w:r>
            <w:r w:rsidR="003F004A" w:rsidRPr="00062652">
              <w:rPr>
                <w:rFonts w:asciiTheme="majorHAnsi" w:hAnsiTheme="majorHAnsi" w:cstheme="majorHAnsi"/>
                <w:color w:val="000000" w:themeColor="text1"/>
                <w:sz w:val="22"/>
                <w:szCs w:val="22"/>
              </w:rPr>
              <w:t>% of students earned 30+ hours in one y</w:t>
            </w:r>
            <w:r w:rsidRPr="00062652">
              <w:rPr>
                <w:rFonts w:asciiTheme="majorHAnsi" w:hAnsiTheme="majorHAnsi" w:cstheme="majorHAnsi"/>
                <w:color w:val="000000" w:themeColor="text1"/>
                <w:sz w:val="22"/>
                <w:szCs w:val="22"/>
              </w:rPr>
              <w:t>ear (Fall, Spring Summer) This was an 8%  increase over 2016-2017</w:t>
            </w:r>
          </w:p>
          <w:p w:rsidR="000D5C60" w:rsidRPr="00062652" w:rsidRDefault="00C40697" w:rsidP="00E237F1">
            <w:pPr>
              <w:pStyle w:val="ListParagraph"/>
              <w:numPr>
                <w:ilvl w:val="0"/>
                <w:numId w:val="8"/>
              </w:numPr>
              <w:contextualSpacing w:val="0"/>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Students completed </w:t>
            </w:r>
            <w:r w:rsidR="00E237F1" w:rsidRPr="00062652">
              <w:rPr>
                <w:rFonts w:asciiTheme="majorHAnsi" w:hAnsiTheme="majorHAnsi" w:cstheme="majorHAnsi"/>
                <w:color w:val="000000" w:themeColor="text1"/>
                <w:sz w:val="22"/>
                <w:szCs w:val="22"/>
              </w:rPr>
              <w:t>90</w:t>
            </w:r>
            <w:r w:rsidRPr="00062652">
              <w:rPr>
                <w:rFonts w:asciiTheme="majorHAnsi" w:hAnsiTheme="majorHAnsi" w:cstheme="majorHAnsi"/>
                <w:color w:val="000000" w:themeColor="text1"/>
                <w:sz w:val="22"/>
                <w:szCs w:val="22"/>
              </w:rPr>
              <w:t xml:space="preserve">% </w:t>
            </w:r>
            <w:r w:rsidR="003F004A" w:rsidRPr="00062652">
              <w:rPr>
                <w:rFonts w:asciiTheme="majorHAnsi" w:hAnsiTheme="majorHAnsi" w:cstheme="majorHAnsi"/>
                <w:color w:val="000000" w:themeColor="text1"/>
                <w:sz w:val="22"/>
                <w:szCs w:val="22"/>
              </w:rPr>
              <w:t>of total attempted hours (i.e., earned p</w:t>
            </w:r>
            <w:r w:rsidR="00E237F1" w:rsidRPr="00062652">
              <w:rPr>
                <w:rFonts w:asciiTheme="majorHAnsi" w:hAnsiTheme="majorHAnsi" w:cstheme="majorHAnsi"/>
                <w:color w:val="000000" w:themeColor="text1"/>
                <w:sz w:val="22"/>
                <w:szCs w:val="22"/>
              </w:rPr>
              <w:t xml:space="preserve">assing grades). </w:t>
            </w:r>
          </w:p>
        </w:tc>
      </w:tr>
      <w:tr w:rsidR="00DB546B" w:rsidRPr="00062652" w:rsidTr="00DB546B">
        <w:tc>
          <w:tcPr>
            <w:tcW w:w="2245" w:type="dxa"/>
          </w:tcPr>
          <w:p w:rsidR="00DB546B" w:rsidRPr="00062652" w:rsidRDefault="00DB546B" w:rsidP="003D5D99">
            <w:pPr>
              <w:rPr>
                <w:rFonts w:asciiTheme="majorHAnsi" w:hAnsiTheme="majorHAnsi" w:cstheme="majorHAnsi"/>
                <w:color w:val="0070C0"/>
                <w:sz w:val="22"/>
                <w:szCs w:val="22"/>
              </w:rPr>
            </w:pPr>
            <w:r w:rsidRPr="00062652">
              <w:rPr>
                <w:rFonts w:asciiTheme="majorHAnsi" w:hAnsiTheme="majorHAnsi" w:cstheme="majorHAnsi"/>
                <w:b/>
                <w:bCs/>
                <w:color w:val="000000" w:themeColor="text1"/>
                <w:sz w:val="22"/>
                <w:szCs w:val="22"/>
              </w:rPr>
              <w:lastRenderedPageBreak/>
              <w:t>Measures of Success</w:t>
            </w:r>
          </w:p>
        </w:tc>
        <w:tc>
          <w:tcPr>
            <w:tcW w:w="7105" w:type="dxa"/>
          </w:tcPr>
          <w:p w:rsidR="00DB546B" w:rsidRPr="00062652" w:rsidRDefault="00DB546B" w:rsidP="0098426C">
            <w:pPr>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Ultimately, we anticipate that the improved advising experience will reduce excess credit hours and positively influence graduation rates. The increased effort began in 20</w:t>
            </w:r>
            <w:r w:rsidR="00E237F1" w:rsidRPr="00062652">
              <w:rPr>
                <w:rFonts w:asciiTheme="majorHAnsi" w:hAnsiTheme="majorHAnsi" w:cstheme="majorHAnsi"/>
                <w:color w:val="000000" w:themeColor="text1"/>
                <w:sz w:val="22"/>
                <w:szCs w:val="22"/>
              </w:rPr>
              <w:t>14-2015, and i</w:t>
            </w:r>
            <w:r w:rsidRPr="00062652">
              <w:rPr>
                <w:rFonts w:asciiTheme="majorHAnsi" w:hAnsiTheme="majorHAnsi" w:cstheme="majorHAnsi"/>
                <w:color w:val="000000" w:themeColor="text1"/>
                <w:sz w:val="22"/>
                <w:szCs w:val="22"/>
              </w:rPr>
              <w:t xml:space="preserve">ntensified these past two years. The four-year rates </w:t>
            </w:r>
            <w:r w:rsidR="00E237F1" w:rsidRPr="00062652">
              <w:rPr>
                <w:rFonts w:asciiTheme="majorHAnsi" w:hAnsiTheme="majorHAnsi" w:cstheme="majorHAnsi"/>
                <w:color w:val="000000" w:themeColor="text1"/>
                <w:sz w:val="22"/>
                <w:szCs w:val="22"/>
              </w:rPr>
              <w:t>for the</w:t>
            </w:r>
            <w:r w:rsidR="0098426C" w:rsidRPr="00062652">
              <w:rPr>
                <w:rFonts w:asciiTheme="majorHAnsi" w:hAnsiTheme="majorHAnsi" w:cstheme="majorHAnsi"/>
                <w:color w:val="000000" w:themeColor="text1"/>
                <w:sz w:val="22"/>
                <w:szCs w:val="22"/>
              </w:rPr>
              <w:t xml:space="preserve"> Fall 2</w:t>
            </w:r>
            <w:r w:rsidR="00E237F1" w:rsidRPr="00062652">
              <w:rPr>
                <w:rFonts w:asciiTheme="majorHAnsi" w:hAnsiTheme="majorHAnsi" w:cstheme="majorHAnsi"/>
                <w:color w:val="000000" w:themeColor="text1"/>
                <w:sz w:val="22"/>
                <w:szCs w:val="22"/>
              </w:rPr>
              <w:t>01</w:t>
            </w:r>
            <w:r w:rsidR="0098426C" w:rsidRPr="00062652">
              <w:rPr>
                <w:rFonts w:asciiTheme="majorHAnsi" w:hAnsiTheme="majorHAnsi" w:cstheme="majorHAnsi"/>
                <w:color w:val="000000" w:themeColor="text1"/>
                <w:sz w:val="22"/>
                <w:szCs w:val="22"/>
              </w:rPr>
              <w:t>4</w:t>
            </w:r>
            <w:r w:rsidR="00E237F1" w:rsidRPr="00062652">
              <w:rPr>
                <w:rFonts w:asciiTheme="majorHAnsi" w:hAnsiTheme="majorHAnsi" w:cstheme="majorHAnsi"/>
                <w:color w:val="000000" w:themeColor="text1"/>
                <w:sz w:val="22"/>
                <w:szCs w:val="22"/>
              </w:rPr>
              <w:t xml:space="preserve">  IPEDS cohort is 27.3% </w:t>
            </w:r>
            <w:r w:rsidRPr="00062652">
              <w:rPr>
                <w:rFonts w:asciiTheme="majorHAnsi" w:hAnsiTheme="majorHAnsi" w:cstheme="majorHAnsi"/>
                <w:color w:val="000000" w:themeColor="text1"/>
                <w:sz w:val="22"/>
                <w:szCs w:val="22"/>
              </w:rPr>
              <w:t>that</w:t>
            </w:r>
            <w:r w:rsidR="00E237F1" w:rsidRPr="00062652">
              <w:rPr>
                <w:rFonts w:asciiTheme="majorHAnsi" w:hAnsiTheme="majorHAnsi" w:cstheme="majorHAnsi"/>
                <w:color w:val="000000" w:themeColor="text1"/>
                <w:sz w:val="22"/>
                <w:szCs w:val="22"/>
              </w:rPr>
              <w:t xml:space="preserve"> </w:t>
            </w:r>
            <w:r w:rsidR="0098426C" w:rsidRPr="00062652">
              <w:rPr>
                <w:rFonts w:asciiTheme="majorHAnsi" w:hAnsiTheme="majorHAnsi" w:cstheme="majorHAnsi"/>
                <w:color w:val="000000" w:themeColor="text1"/>
                <w:sz w:val="22"/>
                <w:szCs w:val="22"/>
              </w:rPr>
              <w:t xml:space="preserve">is </w:t>
            </w:r>
            <w:r w:rsidR="00E237F1" w:rsidRPr="00062652">
              <w:rPr>
                <w:rFonts w:asciiTheme="majorHAnsi" w:hAnsiTheme="majorHAnsi" w:cstheme="majorHAnsi"/>
                <w:color w:val="000000" w:themeColor="text1"/>
                <w:sz w:val="22"/>
                <w:szCs w:val="22"/>
              </w:rPr>
              <w:t>a</w:t>
            </w:r>
            <w:r w:rsidR="0098426C" w:rsidRPr="00062652">
              <w:rPr>
                <w:rFonts w:asciiTheme="majorHAnsi" w:hAnsiTheme="majorHAnsi" w:cstheme="majorHAnsi"/>
                <w:color w:val="000000" w:themeColor="text1"/>
                <w:sz w:val="22"/>
                <w:szCs w:val="22"/>
              </w:rPr>
              <w:t xml:space="preserve"> 2.2% </w:t>
            </w:r>
            <w:r w:rsidR="00E237F1" w:rsidRPr="00062652">
              <w:rPr>
                <w:rFonts w:asciiTheme="majorHAnsi" w:hAnsiTheme="majorHAnsi" w:cstheme="majorHAnsi"/>
                <w:color w:val="000000" w:themeColor="text1"/>
                <w:sz w:val="22"/>
                <w:szCs w:val="22"/>
              </w:rPr>
              <w:t xml:space="preserve">increase </w:t>
            </w:r>
            <w:r w:rsidR="0098426C" w:rsidRPr="00062652">
              <w:rPr>
                <w:rFonts w:asciiTheme="majorHAnsi" w:hAnsiTheme="majorHAnsi" w:cstheme="majorHAnsi"/>
                <w:color w:val="000000" w:themeColor="text1"/>
                <w:sz w:val="22"/>
                <w:szCs w:val="22"/>
              </w:rPr>
              <w:t>over the Fall 2013 IPEDS four-year graduation rate of 25.1%.</w:t>
            </w:r>
          </w:p>
        </w:tc>
      </w:tr>
      <w:tr w:rsidR="00DB546B" w:rsidRPr="00062652" w:rsidTr="00DB546B">
        <w:tc>
          <w:tcPr>
            <w:tcW w:w="2245" w:type="dxa"/>
          </w:tcPr>
          <w:p w:rsidR="00DB546B" w:rsidRPr="00062652" w:rsidRDefault="00DB546B" w:rsidP="003D5D99">
            <w:pPr>
              <w:rPr>
                <w:rFonts w:asciiTheme="majorHAnsi" w:hAnsiTheme="majorHAnsi" w:cstheme="majorHAnsi"/>
                <w:b/>
                <w:bCs/>
                <w:color w:val="000000" w:themeColor="text1"/>
                <w:sz w:val="22"/>
                <w:szCs w:val="22"/>
              </w:rPr>
            </w:pPr>
            <w:r w:rsidRPr="00062652">
              <w:rPr>
                <w:rFonts w:asciiTheme="majorHAnsi" w:hAnsiTheme="majorHAnsi" w:cstheme="majorHAnsi"/>
                <w:b/>
                <w:bCs/>
                <w:color w:val="000000" w:themeColor="text1"/>
                <w:sz w:val="22"/>
                <w:szCs w:val="22"/>
              </w:rPr>
              <w:t>Lessons Learned</w:t>
            </w:r>
          </w:p>
          <w:p w:rsidR="002A3D9B" w:rsidRPr="00062652" w:rsidRDefault="002A3D9B" w:rsidP="003D5D99">
            <w:pPr>
              <w:rPr>
                <w:rFonts w:asciiTheme="majorHAnsi" w:hAnsiTheme="majorHAnsi" w:cstheme="majorHAnsi"/>
                <w:color w:val="0070C0"/>
                <w:sz w:val="22"/>
                <w:szCs w:val="22"/>
              </w:rPr>
            </w:pPr>
          </w:p>
        </w:tc>
        <w:tc>
          <w:tcPr>
            <w:tcW w:w="7105" w:type="dxa"/>
          </w:tcPr>
          <w:p w:rsidR="00DB546B" w:rsidRPr="00062652" w:rsidRDefault="002A3D9B" w:rsidP="006F736E">
            <w:pPr>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 xml:space="preserve">We were unable to compare student experiences with </w:t>
            </w:r>
            <w:r w:rsidR="006F736E" w:rsidRPr="00062652">
              <w:rPr>
                <w:rFonts w:asciiTheme="majorHAnsi" w:hAnsiTheme="majorHAnsi" w:cstheme="majorHAnsi"/>
                <w:color w:val="000000" w:themeColor="text1"/>
                <w:sz w:val="22"/>
                <w:szCs w:val="22"/>
              </w:rPr>
              <w:t>P</w:t>
            </w:r>
            <w:r w:rsidRPr="00062652">
              <w:rPr>
                <w:rFonts w:asciiTheme="majorHAnsi" w:hAnsiTheme="majorHAnsi" w:cstheme="majorHAnsi"/>
                <w:color w:val="000000" w:themeColor="text1"/>
                <w:sz w:val="22"/>
                <w:szCs w:val="22"/>
              </w:rPr>
              <w:t xml:space="preserve">rofessional </w:t>
            </w:r>
            <w:r w:rsidR="006F736E" w:rsidRPr="00062652">
              <w:rPr>
                <w:rFonts w:asciiTheme="majorHAnsi" w:hAnsiTheme="majorHAnsi" w:cstheme="majorHAnsi"/>
                <w:color w:val="000000" w:themeColor="text1"/>
                <w:sz w:val="22"/>
                <w:szCs w:val="22"/>
              </w:rPr>
              <w:t>A</w:t>
            </w:r>
            <w:r w:rsidRPr="00062652">
              <w:rPr>
                <w:rFonts w:asciiTheme="majorHAnsi" w:hAnsiTheme="majorHAnsi" w:cstheme="majorHAnsi"/>
                <w:color w:val="000000" w:themeColor="text1"/>
                <w:sz w:val="22"/>
                <w:szCs w:val="22"/>
              </w:rPr>
              <w:t xml:space="preserve">dvisors in 2017-2018 versus </w:t>
            </w:r>
            <w:r w:rsidR="005A35AC" w:rsidRPr="00062652">
              <w:rPr>
                <w:rFonts w:asciiTheme="majorHAnsi" w:hAnsiTheme="majorHAnsi" w:cstheme="majorHAnsi"/>
                <w:color w:val="000000" w:themeColor="text1"/>
                <w:sz w:val="22"/>
                <w:szCs w:val="22"/>
              </w:rPr>
              <w:t>those</w:t>
            </w:r>
            <w:r w:rsidR="006F736E" w:rsidRPr="00062652">
              <w:rPr>
                <w:rFonts w:asciiTheme="majorHAnsi" w:hAnsiTheme="majorHAnsi" w:cstheme="majorHAnsi"/>
                <w:color w:val="000000" w:themeColor="text1"/>
                <w:sz w:val="22"/>
                <w:szCs w:val="22"/>
              </w:rPr>
              <w:t xml:space="preserve"> with </w:t>
            </w:r>
            <w:r w:rsidRPr="00062652">
              <w:rPr>
                <w:rFonts w:asciiTheme="majorHAnsi" w:hAnsiTheme="majorHAnsi" w:cstheme="majorHAnsi"/>
                <w:color w:val="000000" w:themeColor="text1"/>
                <w:sz w:val="22"/>
                <w:szCs w:val="22"/>
              </w:rPr>
              <w:t>faculty advisors prior to 2017-2018, because faculty did not record appointments in the EAB Student Success Collaborative (SSC) platform. However, going forward, more robust data will be collected to identify the effectiveness of professional advising on student progress toward graduation. Further, we will employ a satisfaction survey, which will help us incrementally improve the advising experience over time.</w:t>
            </w:r>
          </w:p>
          <w:p w:rsidR="00451313" w:rsidRPr="00062652" w:rsidRDefault="00451313" w:rsidP="006F736E">
            <w:pPr>
              <w:rPr>
                <w:rFonts w:asciiTheme="majorHAnsi" w:hAnsiTheme="majorHAnsi" w:cstheme="majorHAnsi"/>
                <w:color w:val="000000" w:themeColor="text1"/>
                <w:sz w:val="22"/>
                <w:szCs w:val="22"/>
              </w:rPr>
            </w:pPr>
          </w:p>
          <w:p w:rsidR="00451313" w:rsidRPr="00062652" w:rsidRDefault="00451313" w:rsidP="009009A5">
            <w:pPr>
              <w:rPr>
                <w:rFonts w:asciiTheme="majorHAnsi" w:hAnsiTheme="majorHAnsi" w:cstheme="majorHAnsi"/>
                <w:color w:val="000000" w:themeColor="text1"/>
                <w:sz w:val="22"/>
                <w:szCs w:val="22"/>
              </w:rPr>
            </w:pPr>
            <w:r w:rsidRPr="00062652">
              <w:rPr>
                <w:rFonts w:asciiTheme="majorHAnsi" w:hAnsiTheme="majorHAnsi" w:cstheme="majorHAnsi"/>
                <w:color w:val="000000" w:themeColor="text1"/>
                <w:sz w:val="22"/>
                <w:szCs w:val="22"/>
              </w:rPr>
              <w:t>Regarding the expansion of professional advisors in the College of Social Science</w:t>
            </w:r>
            <w:r w:rsidR="009009A5" w:rsidRPr="00062652">
              <w:rPr>
                <w:rFonts w:asciiTheme="majorHAnsi" w:hAnsiTheme="majorHAnsi" w:cstheme="majorHAnsi"/>
                <w:color w:val="000000" w:themeColor="text1"/>
                <w:sz w:val="22"/>
                <w:szCs w:val="22"/>
              </w:rPr>
              <w:t>s</w:t>
            </w:r>
            <w:r w:rsidRPr="00062652">
              <w:rPr>
                <w:rFonts w:asciiTheme="majorHAnsi" w:hAnsiTheme="majorHAnsi" w:cstheme="majorHAnsi"/>
                <w:color w:val="000000" w:themeColor="text1"/>
                <w:sz w:val="22"/>
                <w:szCs w:val="22"/>
              </w:rPr>
              <w:t xml:space="preserve">, we were successful in terms of providing those experiences to </w:t>
            </w:r>
            <w:r w:rsidR="005A35AC" w:rsidRPr="00062652">
              <w:rPr>
                <w:rFonts w:asciiTheme="majorHAnsi" w:hAnsiTheme="majorHAnsi" w:cstheme="majorHAnsi"/>
                <w:color w:val="000000" w:themeColor="text1"/>
                <w:sz w:val="22"/>
                <w:szCs w:val="22"/>
              </w:rPr>
              <w:t>all</w:t>
            </w:r>
            <w:r w:rsidRPr="00062652">
              <w:rPr>
                <w:rFonts w:asciiTheme="majorHAnsi" w:hAnsiTheme="majorHAnsi" w:cstheme="majorHAnsi"/>
                <w:color w:val="000000" w:themeColor="text1"/>
                <w:sz w:val="22"/>
                <w:szCs w:val="22"/>
              </w:rPr>
              <w:t xml:space="preserve"> </w:t>
            </w:r>
            <w:r w:rsidR="005A35AC" w:rsidRPr="00062652">
              <w:rPr>
                <w:rFonts w:asciiTheme="majorHAnsi" w:hAnsiTheme="majorHAnsi" w:cstheme="majorHAnsi"/>
                <w:color w:val="000000" w:themeColor="text1"/>
                <w:sz w:val="22"/>
                <w:szCs w:val="22"/>
              </w:rPr>
              <w:t>undergraduate COSS students</w:t>
            </w:r>
            <w:r w:rsidRPr="00062652">
              <w:rPr>
                <w:rFonts w:asciiTheme="majorHAnsi" w:hAnsiTheme="majorHAnsi" w:cstheme="majorHAnsi"/>
                <w:color w:val="000000" w:themeColor="text1"/>
                <w:sz w:val="22"/>
                <w:szCs w:val="22"/>
              </w:rPr>
              <w:t xml:space="preserve">. Professional Advisors met with </w:t>
            </w:r>
            <w:r w:rsidR="009009A5" w:rsidRPr="00062652">
              <w:rPr>
                <w:rFonts w:asciiTheme="majorHAnsi" w:hAnsiTheme="majorHAnsi" w:cstheme="majorHAnsi"/>
                <w:color w:val="000000" w:themeColor="text1"/>
                <w:sz w:val="22"/>
                <w:szCs w:val="22"/>
              </w:rPr>
              <w:t>every junior</w:t>
            </w:r>
            <w:r w:rsidRPr="00062652">
              <w:rPr>
                <w:rFonts w:asciiTheme="majorHAnsi" w:hAnsiTheme="majorHAnsi" w:cstheme="majorHAnsi"/>
                <w:color w:val="000000" w:themeColor="text1"/>
                <w:sz w:val="22"/>
                <w:szCs w:val="22"/>
              </w:rPr>
              <w:t xml:space="preserve"> </w:t>
            </w:r>
            <w:r w:rsidR="009009A5" w:rsidRPr="00062652">
              <w:rPr>
                <w:rFonts w:asciiTheme="majorHAnsi" w:hAnsiTheme="majorHAnsi" w:cstheme="majorHAnsi"/>
                <w:color w:val="000000" w:themeColor="text1"/>
                <w:sz w:val="22"/>
                <w:szCs w:val="22"/>
              </w:rPr>
              <w:t>and senior</w:t>
            </w:r>
            <w:r w:rsidRPr="00062652">
              <w:rPr>
                <w:rFonts w:asciiTheme="majorHAnsi" w:hAnsiTheme="majorHAnsi" w:cstheme="majorHAnsi"/>
                <w:color w:val="000000" w:themeColor="text1"/>
                <w:sz w:val="22"/>
                <w:szCs w:val="22"/>
              </w:rPr>
              <w:t xml:space="preserve"> in the College of Social Sciences (N=1,264 unduplicated headcount) twice</w:t>
            </w:r>
            <w:r w:rsidR="00F6572F" w:rsidRPr="00062652">
              <w:rPr>
                <w:rFonts w:asciiTheme="majorHAnsi" w:hAnsiTheme="majorHAnsi" w:cstheme="majorHAnsi"/>
                <w:color w:val="000000" w:themeColor="text1"/>
                <w:sz w:val="22"/>
                <w:szCs w:val="22"/>
              </w:rPr>
              <w:t xml:space="preserve"> during 2017-2018</w:t>
            </w:r>
            <w:r w:rsidRPr="00062652">
              <w:rPr>
                <w:rFonts w:asciiTheme="majorHAnsi" w:hAnsiTheme="majorHAnsi" w:cstheme="majorHAnsi"/>
                <w:color w:val="000000" w:themeColor="text1"/>
                <w:sz w:val="22"/>
                <w:szCs w:val="22"/>
              </w:rPr>
              <w:t>: once in Fall and once in Spring.</w:t>
            </w:r>
            <w:r w:rsidR="00F6572F" w:rsidRPr="00062652">
              <w:rPr>
                <w:rFonts w:asciiTheme="majorHAnsi" w:hAnsiTheme="majorHAnsi" w:cstheme="majorHAnsi"/>
                <w:color w:val="000000" w:themeColor="text1"/>
                <w:sz w:val="22"/>
                <w:szCs w:val="22"/>
              </w:rPr>
              <w:t xml:space="preserve"> Professional Advisors in the Advising Center continued to serve freshman and sophomores students, as has been the practice before this year.</w:t>
            </w:r>
            <w:r w:rsidR="009009A5" w:rsidRPr="00062652">
              <w:rPr>
                <w:rFonts w:asciiTheme="majorHAnsi" w:hAnsiTheme="majorHAnsi" w:cstheme="majorHAnsi"/>
                <w:color w:val="000000" w:themeColor="text1"/>
                <w:sz w:val="22"/>
                <w:szCs w:val="22"/>
              </w:rPr>
              <w:t xml:space="preserve"> Lastly, the faculty mentoring model for juniors and seniors is just beginning to get off the ground; efforts to deepen this work will continue in 2018-2019. When the Professional Advisors/Faculty Mentor model is refined, we hope to expand it beyond the College of Social Sciences.</w:t>
            </w:r>
          </w:p>
        </w:tc>
      </w:tr>
    </w:tbl>
    <w:p w:rsidR="00B06360" w:rsidRPr="00062652" w:rsidRDefault="00B06360" w:rsidP="003D5D99">
      <w:pPr>
        <w:rPr>
          <w:rFonts w:asciiTheme="majorHAnsi" w:hAnsiTheme="majorHAnsi" w:cstheme="majorHAnsi"/>
          <w:color w:val="0070C0"/>
          <w:sz w:val="22"/>
          <w:szCs w:val="22"/>
        </w:rPr>
      </w:pPr>
    </w:p>
    <w:p w:rsidR="009721B6" w:rsidRDefault="009721B6" w:rsidP="003D5D99">
      <w:pPr>
        <w:jc w:val="center"/>
        <w:rPr>
          <w:rFonts w:asciiTheme="majorHAnsi" w:eastAsia="Times New Roman" w:hAnsiTheme="majorHAnsi" w:cstheme="majorHAnsi"/>
          <w:b/>
          <w:bCs/>
          <w:color w:val="000000" w:themeColor="text1"/>
          <w:sz w:val="22"/>
          <w:szCs w:val="22"/>
        </w:rPr>
      </w:pPr>
    </w:p>
    <w:p w:rsidR="00435A9B" w:rsidRPr="00062652" w:rsidRDefault="00435A9B" w:rsidP="003D5D99">
      <w:pPr>
        <w:jc w:val="center"/>
        <w:rPr>
          <w:rFonts w:asciiTheme="majorHAnsi" w:eastAsia="Times New Roman" w:hAnsiTheme="majorHAnsi" w:cstheme="majorHAnsi"/>
          <w:b/>
          <w:bCs/>
          <w:color w:val="000000" w:themeColor="text1"/>
          <w:sz w:val="22"/>
          <w:szCs w:val="22"/>
        </w:rPr>
      </w:pPr>
      <w:r w:rsidRPr="00062652">
        <w:rPr>
          <w:rFonts w:asciiTheme="majorHAnsi" w:eastAsia="Times New Roman" w:hAnsiTheme="majorHAnsi" w:cstheme="majorHAnsi"/>
          <w:b/>
          <w:bCs/>
          <w:color w:val="000000" w:themeColor="text1"/>
          <w:sz w:val="22"/>
          <w:szCs w:val="22"/>
        </w:rPr>
        <w:t xml:space="preserve">SECTION 3. </w:t>
      </w:r>
      <w:r w:rsidR="00AE3D58" w:rsidRPr="00062652">
        <w:rPr>
          <w:rFonts w:asciiTheme="majorHAnsi" w:eastAsia="Times New Roman" w:hAnsiTheme="majorHAnsi" w:cstheme="majorHAnsi"/>
          <w:b/>
          <w:bCs/>
          <w:color w:val="000000" w:themeColor="text1"/>
          <w:sz w:val="22"/>
          <w:szCs w:val="22"/>
        </w:rPr>
        <w:t>MOMENTUM YEAR UPDATE</w:t>
      </w:r>
    </w:p>
    <w:p w:rsidR="00205BB2" w:rsidRDefault="00205BB2" w:rsidP="0047123A">
      <w:pPr>
        <w:jc w:val="both"/>
        <w:rPr>
          <w:rFonts w:asciiTheme="majorHAnsi" w:hAnsiTheme="majorHAnsi" w:cstheme="majorHAnsi"/>
          <w:sz w:val="22"/>
          <w:szCs w:val="22"/>
        </w:rPr>
      </w:pPr>
    </w:p>
    <w:p w:rsidR="00CC2759" w:rsidRDefault="00205BB2" w:rsidP="0047123A">
      <w:pPr>
        <w:jc w:val="both"/>
        <w:rPr>
          <w:rFonts w:asciiTheme="majorHAnsi" w:hAnsiTheme="majorHAnsi" w:cstheme="majorHAnsi"/>
          <w:sz w:val="22"/>
          <w:szCs w:val="22"/>
        </w:rPr>
      </w:pPr>
      <w:r>
        <w:rPr>
          <w:rFonts w:asciiTheme="majorHAnsi" w:hAnsiTheme="majorHAnsi" w:cstheme="majorHAnsi"/>
          <w:sz w:val="22"/>
          <w:szCs w:val="22"/>
        </w:rPr>
        <w:t xml:space="preserve">Following the </w:t>
      </w:r>
      <w:r w:rsidR="00754B24" w:rsidRPr="00062652">
        <w:rPr>
          <w:rFonts w:asciiTheme="majorHAnsi" w:hAnsiTheme="majorHAnsi" w:cstheme="majorHAnsi"/>
          <w:sz w:val="22"/>
          <w:szCs w:val="22"/>
        </w:rPr>
        <w:t xml:space="preserve">initial Momentum Summit in February 2018, the University of West Georgia developed a </w:t>
      </w:r>
      <w:r w:rsidR="002E40A4">
        <w:rPr>
          <w:rFonts w:asciiTheme="majorHAnsi" w:hAnsiTheme="majorHAnsi" w:cstheme="majorHAnsi"/>
          <w:sz w:val="22"/>
          <w:szCs w:val="22"/>
        </w:rPr>
        <w:t xml:space="preserve">strategic </w:t>
      </w:r>
      <w:r w:rsidR="00754B24" w:rsidRPr="00062652">
        <w:rPr>
          <w:rFonts w:asciiTheme="majorHAnsi" w:hAnsiTheme="majorHAnsi" w:cstheme="majorHAnsi"/>
          <w:sz w:val="22"/>
          <w:szCs w:val="22"/>
        </w:rPr>
        <w:t xml:space="preserve">plan </w:t>
      </w:r>
      <w:r w:rsidR="00C616AA">
        <w:rPr>
          <w:rFonts w:asciiTheme="majorHAnsi" w:hAnsiTheme="majorHAnsi" w:cstheme="majorHAnsi"/>
          <w:sz w:val="22"/>
          <w:szCs w:val="22"/>
        </w:rPr>
        <w:t xml:space="preserve">to align </w:t>
      </w:r>
      <w:r w:rsidR="002E40A4">
        <w:rPr>
          <w:rFonts w:asciiTheme="majorHAnsi" w:hAnsiTheme="majorHAnsi" w:cstheme="majorHAnsi"/>
          <w:sz w:val="22"/>
          <w:szCs w:val="22"/>
        </w:rPr>
        <w:t xml:space="preserve">campus student success initiatives with the </w:t>
      </w:r>
      <w:r w:rsidR="00007C29">
        <w:rPr>
          <w:rFonts w:asciiTheme="majorHAnsi" w:hAnsiTheme="majorHAnsi" w:cstheme="majorHAnsi"/>
          <w:sz w:val="22"/>
          <w:szCs w:val="22"/>
        </w:rPr>
        <w:t xml:space="preserve">framework of the Momentum Year. </w:t>
      </w:r>
      <w:r w:rsidR="003546DD">
        <w:rPr>
          <w:rFonts w:asciiTheme="majorHAnsi" w:hAnsiTheme="majorHAnsi" w:cstheme="majorHAnsi"/>
          <w:sz w:val="22"/>
          <w:szCs w:val="22"/>
        </w:rPr>
        <w:t>In addition to improving advising processes to ensure first year students complete core English and Math and 30 hours in the first year, UWG</w:t>
      </w:r>
      <w:r w:rsidR="00007C29">
        <w:rPr>
          <w:rFonts w:asciiTheme="majorHAnsi" w:hAnsiTheme="majorHAnsi" w:cstheme="majorHAnsi"/>
          <w:sz w:val="22"/>
          <w:szCs w:val="22"/>
        </w:rPr>
        <w:t xml:space="preserve"> </w:t>
      </w:r>
      <w:r w:rsidR="00040EA2">
        <w:rPr>
          <w:rFonts w:asciiTheme="majorHAnsi" w:hAnsiTheme="majorHAnsi" w:cstheme="majorHAnsi"/>
          <w:sz w:val="22"/>
          <w:szCs w:val="22"/>
        </w:rPr>
        <w:t xml:space="preserve">implemented plans for corequisite learning support, academic focus areas, and academic mindset. Following the Momentum Summit in February 2019, UWG </w:t>
      </w:r>
      <w:r w:rsidR="00FF3612">
        <w:rPr>
          <w:rFonts w:asciiTheme="majorHAnsi" w:hAnsiTheme="majorHAnsi" w:cstheme="majorHAnsi"/>
          <w:sz w:val="22"/>
          <w:szCs w:val="22"/>
        </w:rPr>
        <w:t>expanded these efforts beyond the first year to align with the USG Momentum Approach. Progress over the past year is described below.</w:t>
      </w:r>
    </w:p>
    <w:p w:rsidR="00754B24" w:rsidRPr="00062652" w:rsidRDefault="00754B24" w:rsidP="00754B24">
      <w:pPr>
        <w:rPr>
          <w:rFonts w:asciiTheme="majorHAnsi" w:hAnsiTheme="majorHAnsi" w:cstheme="majorHAnsi"/>
          <w:sz w:val="22"/>
          <w:szCs w:val="22"/>
        </w:rPr>
      </w:pPr>
    </w:p>
    <w:p w:rsidR="00754B24" w:rsidRPr="00062652" w:rsidRDefault="002E40A4" w:rsidP="00754B24">
      <w:pPr>
        <w:rPr>
          <w:rFonts w:asciiTheme="majorHAnsi" w:hAnsiTheme="majorHAnsi" w:cstheme="majorHAnsi"/>
          <w:sz w:val="22"/>
          <w:szCs w:val="22"/>
        </w:rPr>
      </w:pPr>
      <w:r>
        <w:rPr>
          <w:rFonts w:asciiTheme="majorHAnsi" w:hAnsiTheme="majorHAnsi" w:cstheme="majorHAnsi"/>
          <w:b/>
          <w:sz w:val="22"/>
          <w:szCs w:val="22"/>
        </w:rPr>
        <w:t>Corequis</w:t>
      </w:r>
      <w:r w:rsidR="00007C29">
        <w:rPr>
          <w:rFonts w:asciiTheme="majorHAnsi" w:hAnsiTheme="majorHAnsi" w:cstheme="majorHAnsi"/>
          <w:b/>
          <w:sz w:val="22"/>
          <w:szCs w:val="22"/>
        </w:rPr>
        <w:t>i</w:t>
      </w:r>
      <w:r>
        <w:rPr>
          <w:rFonts w:asciiTheme="majorHAnsi" w:hAnsiTheme="majorHAnsi" w:cstheme="majorHAnsi"/>
          <w:b/>
          <w:sz w:val="22"/>
          <w:szCs w:val="22"/>
        </w:rPr>
        <w:t>te Learning Support in English and Math</w:t>
      </w:r>
    </w:p>
    <w:p w:rsidR="00734B49" w:rsidRDefault="00283508" w:rsidP="0047123A">
      <w:pPr>
        <w:jc w:val="both"/>
        <w:rPr>
          <w:rFonts w:asciiTheme="majorHAnsi" w:hAnsiTheme="majorHAnsi" w:cstheme="majorHAnsi"/>
          <w:sz w:val="22"/>
          <w:szCs w:val="22"/>
        </w:rPr>
      </w:pPr>
      <w:r>
        <w:rPr>
          <w:rFonts w:asciiTheme="majorHAnsi" w:hAnsiTheme="majorHAnsi" w:cstheme="majorHAnsi"/>
          <w:sz w:val="22"/>
          <w:szCs w:val="22"/>
        </w:rPr>
        <w:t xml:space="preserve">In 2018, </w:t>
      </w:r>
      <w:r w:rsidR="00754B24" w:rsidRPr="00062652">
        <w:rPr>
          <w:rFonts w:asciiTheme="majorHAnsi" w:hAnsiTheme="majorHAnsi" w:cstheme="majorHAnsi"/>
          <w:sz w:val="22"/>
          <w:szCs w:val="22"/>
        </w:rPr>
        <w:t xml:space="preserve">UWG </w:t>
      </w:r>
      <w:r>
        <w:rPr>
          <w:rFonts w:asciiTheme="majorHAnsi" w:hAnsiTheme="majorHAnsi" w:cstheme="majorHAnsi"/>
          <w:sz w:val="22"/>
          <w:szCs w:val="22"/>
        </w:rPr>
        <w:t xml:space="preserve">initially developed corequisite labs (ENGL 1101L, MATH 1001L </w:t>
      </w:r>
      <w:r w:rsidR="00754B24" w:rsidRPr="00062652">
        <w:rPr>
          <w:rFonts w:asciiTheme="majorHAnsi" w:hAnsiTheme="majorHAnsi" w:cstheme="majorHAnsi"/>
          <w:sz w:val="22"/>
          <w:szCs w:val="22"/>
        </w:rPr>
        <w:t xml:space="preserve">MATH </w:t>
      </w:r>
      <w:r w:rsidR="00B127B8" w:rsidRPr="00062652">
        <w:rPr>
          <w:rFonts w:asciiTheme="majorHAnsi" w:hAnsiTheme="majorHAnsi" w:cstheme="majorHAnsi"/>
          <w:sz w:val="22"/>
          <w:szCs w:val="22"/>
        </w:rPr>
        <w:t>1111L)</w:t>
      </w:r>
      <w:r>
        <w:rPr>
          <w:rFonts w:asciiTheme="majorHAnsi" w:hAnsiTheme="majorHAnsi" w:cstheme="majorHAnsi"/>
          <w:sz w:val="22"/>
          <w:szCs w:val="22"/>
        </w:rPr>
        <w:t>. In 2019, UWG transitioned to the USG mandated coreq</w:t>
      </w:r>
      <w:r w:rsidR="00E67F6E">
        <w:rPr>
          <w:rFonts w:asciiTheme="majorHAnsi" w:hAnsiTheme="majorHAnsi" w:cstheme="majorHAnsi"/>
          <w:sz w:val="22"/>
          <w:szCs w:val="22"/>
        </w:rPr>
        <w:t>uisite learning support courses: ENGL 0999, MATH 0997, and O999</w:t>
      </w:r>
      <w:r w:rsidR="00E67F6E" w:rsidRPr="00062652">
        <w:rPr>
          <w:rFonts w:asciiTheme="majorHAnsi" w:hAnsiTheme="majorHAnsi" w:cstheme="majorHAnsi"/>
          <w:sz w:val="22"/>
          <w:szCs w:val="22"/>
        </w:rPr>
        <w:t xml:space="preserve">. </w:t>
      </w:r>
      <w:r w:rsidR="00E67F6E">
        <w:rPr>
          <w:rFonts w:asciiTheme="majorHAnsi" w:hAnsiTheme="majorHAnsi" w:cstheme="majorHAnsi"/>
          <w:sz w:val="22"/>
          <w:szCs w:val="22"/>
        </w:rPr>
        <w:t xml:space="preserve">At UWG, all LS courses are </w:t>
      </w:r>
      <w:r w:rsidR="00913065">
        <w:rPr>
          <w:rFonts w:asciiTheme="majorHAnsi" w:hAnsiTheme="majorHAnsi" w:cstheme="majorHAnsi"/>
          <w:sz w:val="22"/>
          <w:szCs w:val="22"/>
        </w:rPr>
        <w:t xml:space="preserve">1 </w:t>
      </w:r>
      <w:r>
        <w:rPr>
          <w:rFonts w:asciiTheme="majorHAnsi" w:hAnsiTheme="majorHAnsi" w:cstheme="majorHAnsi"/>
          <w:sz w:val="22"/>
          <w:szCs w:val="22"/>
        </w:rPr>
        <w:t xml:space="preserve">credit hour, </w:t>
      </w:r>
      <w:r w:rsidR="00511B52">
        <w:rPr>
          <w:rFonts w:asciiTheme="majorHAnsi" w:hAnsiTheme="majorHAnsi" w:cstheme="majorHAnsi"/>
          <w:sz w:val="22"/>
          <w:szCs w:val="22"/>
        </w:rPr>
        <w:t>2</w:t>
      </w:r>
      <w:r w:rsidR="00754B24" w:rsidRPr="00062652">
        <w:rPr>
          <w:rFonts w:asciiTheme="majorHAnsi" w:hAnsiTheme="majorHAnsi" w:cstheme="majorHAnsi"/>
          <w:sz w:val="22"/>
          <w:szCs w:val="22"/>
        </w:rPr>
        <w:t xml:space="preserve"> contact ho</w:t>
      </w:r>
      <w:r>
        <w:rPr>
          <w:rFonts w:asciiTheme="majorHAnsi" w:hAnsiTheme="majorHAnsi" w:cstheme="majorHAnsi"/>
          <w:sz w:val="22"/>
          <w:szCs w:val="22"/>
        </w:rPr>
        <w:t>urs per week</w:t>
      </w:r>
      <w:r w:rsidR="00E67F6E">
        <w:rPr>
          <w:rFonts w:asciiTheme="majorHAnsi" w:hAnsiTheme="majorHAnsi" w:cstheme="majorHAnsi"/>
          <w:sz w:val="22"/>
          <w:szCs w:val="22"/>
        </w:rPr>
        <w:t>.</w:t>
      </w:r>
      <w:r>
        <w:rPr>
          <w:rFonts w:asciiTheme="majorHAnsi" w:hAnsiTheme="majorHAnsi" w:cstheme="majorHAnsi"/>
          <w:sz w:val="22"/>
          <w:szCs w:val="22"/>
        </w:rPr>
        <w:t xml:space="preserve"> </w:t>
      </w:r>
      <w:r w:rsidR="00734B49">
        <w:rPr>
          <w:rFonts w:asciiTheme="majorHAnsi" w:hAnsiTheme="majorHAnsi" w:cstheme="majorHAnsi"/>
          <w:sz w:val="22"/>
          <w:szCs w:val="22"/>
        </w:rPr>
        <w:t xml:space="preserve">English and Math faculty worked on the design of the learning support course, while </w:t>
      </w:r>
      <w:r w:rsidR="00E67F6E">
        <w:rPr>
          <w:rFonts w:asciiTheme="majorHAnsi" w:hAnsiTheme="majorHAnsi" w:cstheme="majorHAnsi"/>
          <w:sz w:val="22"/>
          <w:szCs w:val="22"/>
        </w:rPr>
        <w:t xml:space="preserve">professional </w:t>
      </w:r>
      <w:r w:rsidR="00734B49">
        <w:rPr>
          <w:rFonts w:asciiTheme="majorHAnsi" w:hAnsiTheme="majorHAnsi" w:cstheme="majorHAnsi"/>
          <w:sz w:val="22"/>
          <w:szCs w:val="22"/>
        </w:rPr>
        <w:t xml:space="preserve">staff in </w:t>
      </w:r>
      <w:r w:rsidR="00754B24" w:rsidRPr="00062652">
        <w:rPr>
          <w:rFonts w:asciiTheme="majorHAnsi" w:hAnsiTheme="majorHAnsi" w:cstheme="majorHAnsi"/>
          <w:sz w:val="22"/>
          <w:szCs w:val="22"/>
        </w:rPr>
        <w:t xml:space="preserve">Admissions, Advising Center, </w:t>
      </w:r>
      <w:r w:rsidR="00AF2D36" w:rsidRPr="00062652">
        <w:rPr>
          <w:rFonts w:asciiTheme="majorHAnsi" w:hAnsiTheme="majorHAnsi" w:cstheme="majorHAnsi"/>
          <w:sz w:val="22"/>
          <w:szCs w:val="22"/>
        </w:rPr>
        <w:t>R</w:t>
      </w:r>
      <w:r w:rsidR="00754B24" w:rsidRPr="00062652">
        <w:rPr>
          <w:rFonts w:asciiTheme="majorHAnsi" w:hAnsiTheme="majorHAnsi" w:cstheme="majorHAnsi"/>
          <w:sz w:val="22"/>
          <w:szCs w:val="22"/>
        </w:rPr>
        <w:t>egistrar,</w:t>
      </w:r>
      <w:r w:rsidR="00E67F6E">
        <w:rPr>
          <w:rFonts w:asciiTheme="majorHAnsi" w:hAnsiTheme="majorHAnsi" w:cstheme="majorHAnsi"/>
          <w:sz w:val="22"/>
          <w:szCs w:val="22"/>
        </w:rPr>
        <w:t xml:space="preserve"> Center for Academic Success, an</w:t>
      </w:r>
      <w:r w:rsidR="00754B24" w:rsidRPr="00062652">
        <w:rPr>
          <w:rFonts w:asciiTheme="majorHAnsi" w:hAnsiTheme="majorHAnsi" w:cstheme="majorHAnsi"/>
          <w:sz w:val="22"/>
          <w:szCs w:val="22"/>
        </w:rPr>
        <w:t xml:space="preserve">d the Provost’s </w:t>
      </w:r>
      <w:r w:rsidR="00E67F6E">
        <w:rPr>
          <w:rFonts w:asciiTheme="majorHAnsi" w:hAnsiTheme="majorHAnsi" w:cstheme="majorHAnsi"/>
          <w:sz w:val="22"/>
          <w:szCs w:val="22"/>
        </w:rPr>
        <w:t>O</w:t>
      </w:r>
      <w:r w:rsidR="00754B24" w:rsidRPr="00062652">
        <w:rPr>
          <w:rFonts w:asciiTheme="majorHAnsi" w:hAnsiTheme="majorHAnsi" w:cstheme="majorHAnsi"/>
          <w:sz w:val="22"/>
          <w:szCs w:val="22"/>
        </w:rPr>
        <w:t xml:space="preserve">ffice </w:t>
      </w:r>
      <w:r w:rsidR="00734B49">
        <w:rPr>
          <w:rFonts w:asciiTheme="majorHAnsi" w:hAnsiTheme="majorHAnsi" w:cstheme="majorHAnsi"/>
          <w:sz w:val="22"/>
          <w:szCs w:val="22"/>
        </w:rPr>
        <w:t xml:space="preserve">developed processes for advisement and placement of students in learning support. </w:t>
      </w:r>
      <w:r w:rsidR="00734B49" w:rsidRPr="00062652">
        <w:rPr>
          <w:rFonts w:asciiTheme="majorHAnsi" w:hAnsiTheme="majorHAnsi" w:cstheme="majorHAnsi"/>
          <w:sz w:val="22"/>
          <w:szCs w:val="22"/>
        </w:rPr>
        <w:t>The Provost’s office provided professional development funding for faculty from English and Math to work on course design of the corequisite labs and alignment with ENGL 1101 and MATH 1111 respectively.</w:t>
      </w:r>
      <w:r w:rsidR="00734B49">
        <w:rPr>
          <w:rFonts w:asciiTheme="majorHAnsi" w:hAnsiTheme="majorHAnsi" w:cstheme="majorHAnsi"/>
          <w:sz w:val="22"/>
          <w:szCs w:val="22"/>
        </w:rPr>
        <w:t xml:space="preserve">  </w:t>
      </w:r>
      <w:r w:rsidR="00E67F6E">
        <w:rPr>
          <w:rFonts w:asciiTheme="majorHAnsi" w:hAnsiTheme="majorHAnsi" w:cstheme="majorHAnsi"/>
          <w:sz w:val="22"/>
          <w:szCs w:val="22"/>
        </w:rPr>
        <w:t>C</w:t>
      </w:r>
      <w:r w:rsidR="00754B24" w:rsidRPr="00062652">
        <w:rPr>
          <w:rFonts w:asciiTheme="majorHAnsi" w:hAnsiTheme="majorHAnsi" w:cstheme="majorHAnsi"/>
          <w:sz w:val="22"/>
          <w:szCs w:val="22"/>
        </w:rPr>
        <w:t>ore section</w:t>
      </w:r>
      <w:r w:rsidR="00E67F6E">
        <w:rPr>
          <w:rFonts w:asciiTheme="majorHAnsi" w:hAnsiTheme="majorHAnsi" w:cstheme="majorHAnsi"/>
          <w:sz w:val="22"/>
          <w:szCs w:val="22"/>
        </w:rPr>
        <w:t>s</w:t>
      </w:r>
      <w:r w:rsidR="00754B24" w:rsidRPr="00062652">
        <w:rPr>
          <w:rFonts w:asciiTheme="majorHAnsi" w:hAnsiTheme="majorHAnsi" w:cstheme="majorHAnsi"/>
          <w:sz w:val="22"/>
          <w:szCs w:val="22"/>
        </w:rPr>
        <w:t xml:space="preserve"> and the corequisite </w:t>
      </w:r>
      <w:r w:rsidR="00734B49">
        <w:rPr>
          <w:rFonts w:asciiTheme="majorHAnsi" w:hAnsiTheme="majorHAnsi" w:cstheme="majorHAnsi"/>
          <w:sz w:val="22"/>
          <w:szCs w:val="22"/>
        </w:rPr>
        <w:t>learning support section</w:t>
      </w:r>
      <w:r w:rsidR="00E67F6E">
        <w:rPr>
          <w:rFonts w:asciiTheme="majorHAnsi" w:hAnsiTheme="majorHAnsi" w:cstheme="majorHAnsi"/>
          <w:sz w:val="22"/>
          <w:szCs w:val="22"/>
        </w:rPr>
        <w:t>s</w:t>
      </w:r>
      <w:r w:rsidR="00734B49">
        <w:rPr>
          <w:rFonts w:asciiTheme="majorHAnsi" w:hAnsiTheme="majorHAnsi" w:cstheme="majorHAnsi"/>
          <w:sz w:val="22"/>
          <w:szCs w:val="22"/>
        </w:rPr>
        <w:t xml:space="preserve"> are </w:t>
      </w:r>
      <w:r w:rsidR="00754B24" w:rsidRPr="00062652">
        <w:rPr>
          <w:rFonts w:asciiTheme="majorHAnsi" w:hAnsiTheme="majorHAnsi" w:cstheme="majorHAnsi"/>
          <w:sz w:val="22"/>
          <w:szCs w:val="22"/>
        </w:rPr>
        <w:t xml:space="preserve">taught </w:t>
      </w:r>
      <w:r w:rsidR="00AF2D36" w:rsidRPr="00062652">
        <w:rPr>
          <w:rFonts w:asciiTheme="majorHAnsi" w:hAnsiTheme="majorHAnsi" w:cstheme="majorHAnsi"/>
          <w:sz w:val="22"/>
          <w:szCs w:val="22"/>
        </w:rPr>
        <w:t xml:space="preserve">by the same faculty member. </w:t>
      </w:r>
      <w:r w:rsidR="00734B49">
        <w:rPr>
          <w:rFonts w:asciiTheme="majorHAnsi" w:hAnsiTheme="majorHAnsi" w:cstheme="majorHAnsi"/>
          <w:sz w:val="22"/>
          <w:szCs w:val="22"/>
        </w:rPr>
        <w:t xml:space="preserve">ENGL 0999, MATH 0997, and MATH 0999 are being offered in fall </w:t>
      </w:r>
      <w:r w:rsidR="002D382A">
        <w:rPr>
          <w:rFonts w:asciiTheme="majorHAnsi" w:hAnsiTheme="majorHAnsi" w:cstheme="majorHAnsi"/>
          <w:sz w:val="22"/>
          <w:szCs w:val="22"/>
        </w:rPr>
        <w:t xml:space="preserve">2019. UWG has appointed a Learning Support Coordinator and has sent implementation teams consisting of Math and English faculty and </w:t>
      </w:r>
      <w:r w:rsidR="00E67F6E">
        <w:rPr>
          <w:rFonts w:asciiTheme="majorHAnsi" w:hAnsiTheme="majorHAnsi" w:cstheme="majorHAnsi"/>
          <w:sz w:val="22"/>
          <w:szCs w:val="22"/>
        </w:rPr>
        <w:t xml:space="preserve">professional </w:t>
      </w:r>
      <w:r w:rsidR="002D382A">
        <w:rPr>
          <w:rFonts w:asciiTheme="majorHAnsi" w:hAnsiTheme="majorHAnsi" w:cstheme="majorHAnsi"/>
          <w:sz w:val="22"/>
          <w:szCs w:val="22"/>
        </w:rPr>
        <w:t xml:space="preserve">support staff to each of </w:t>
      </w:r>
      <w:r w:rsidR="002D382A">
        <w:rPr>
          <w:rFonts w:asciiTheme="majorHAnsi" w:hAnsiTheme="majorHAnsi" w:cstheme="majorHAnsi"/>
          <w:sz w:val="22"/>
          <w:szCs w:val="22"/>
        </w:rPr>
        <w:lastRenderedPageBreak/>
        <w:t xml:space="preserve">the USG Learning Support Academies. </w:t>
      </w:r>
      <w:r w:rsidR="00B127B8">
        <w:rPr>
          <w:rFonts w:asciiTheme="majorHAnsi" w:hAnsiTheme="majorHAnsi" w:cstheme="majorHAnsi"/>
          <w:sz w:val="22"/>
          <w:szCs w:val="22"/>
        </w:rPr>
        <w:t>Since 2019-2020 is the first year of full implementation, we do not yet have data o</w:t>
      </w:r>
      <w:r w:rsidR="00CD72F4">
        <w:rPr>
          <w:rFonts w:asciiTheme="majorHAnsi" w:hAnsiTheme="majorHAnsi" w:cstheme="majorHAnsi"/>
          <w:sz w:val="22"/>
          <w:szCs w:val="22"/>
        </w:rPr>
        <w:t xml:space="preserve">n </w:t>
      </w:r>
      <w:r w:rsidR="00B127B8">
        <w:rPr>
          <w:rFonts w:asciiTheme="majorHAnsi" w:hAnsiTheme="majorHAnsi" w:cstheme="majorHAnsi"/>
          <w:sz w:val="22"/>
          <w:szCs w:val="22"/>
        </w:rPr>
        <w:t xml:space="preserve">how the LS corequisites are improving student success. </w:t>
      </w:r>
    </w:p>
    <w:p w:rsidR="00CC2759" w:rsidRDefault="00CC2759" w:rsidP="0047123A">
      <w:pPr>
        <w:jc w:val="both"/>
        <w:rPr>
          <w:rFonts w:asciiTheme="majorHAnsi" w:hAnsiTheme="majorHAnsi" w:cstheme="majorHAnsi"/>
          <w:sz w:val="22"/>
          <w:szCs w:val="22"/>
        </w:rPr>
      </w:pPr>
    </w:p>
    <w:p w:rsidR="00CC2759" w:rsidRPr="00CC2759" w:rsidRDefault="00CC2759" w:rsidP="0047123A">
      <w:pPr>
        <w:jc w:val="both"/>
        <w:rPr>
          <w:rFonts w:asciiTheme="majorHAnsi" w:hAnsiTheme="majorHAnsi" w:cstheme="majorHAnsi"/>
          <w:b/>
          <w:sz w:val="22"/>
          <w:szCs w:val="22"/>
        </w:rPr>
      </w:pPr>
      <w:r w:rsidRPr="00CC2759">
        <w:rPr>
          <w:rFonts w:asciiTheme="majorHAnsi" w:hAnsiTheme="majorHAnsi" w:cstheme="majorHAnsi"/>
          <w:b/>
          <w:sz w:val="22"/>
          <w:szCs w:val="22"/>
        </w:rPr>
        <w:t>Math Statistic</w:t>
      </w:r>
      <w:r w:rsidR="002D382A">
        <w:rPr>
          <w:rFonts w:asciiTheme="majorHAnsi" w:hAnsiTheme="majorHAnsi" w:cstheme="majorHAnsi"/>
          <w:b/>
          <w:sz w:val="22"/>
          <w:szCs w:val="22"/>
        </w:rPr>
        <w:t>s</w:t>
      </w:r>
      <w:r w:rsidRPr="00CC2759">
        <w:rPr>
          <w:rFonts w:asciiTheme="majorHAnsi" w:hAnsiTheme="majorHAnsi" w:cstheme="majorHAnsi"/>
          <w:b/>
          <w:sz w:val="22"/>
          <w:szCs w:val="22"/>
        </w:rPr>
        <w:t xml:space="preserve"> Pathway</w:t>
      </w:r>
    </w:p>
    <w:p w:rsidR="00754B24" w:rsidRDefault="002D382A" w:rsidP="00B127B8">
      <w:pPr>
        <w:jc w:val="both"/>
        <w:rPr>
          <w:rFonts w:asciiTheme="majorHAnsi" w:hAnsiTheme="majorHAnsi" w:cstheme="majorHAnsi"/>
          <w:sz w:val="22"/>
          <w:szCs w:val="22"/>
        </w:rPr>
      </w:pPr>
      <w:r>
        <w:rPr>
          <w:rFonts w:asciiTheme="majorHAnsi" w:hAnsiTheme="majorHAnsi" w:cstheme="majorHAnsi"/>
          <w:sz w:val="22"/>
          <w:szCs w:val="22"/>
        </w:rPr>
        <w:t xml:space="preserve">UWG is one of the institutions </w:t>
      </w:r>
      <w:r w:rsidR="00913065">
        <w:rPr>
          <w:rFonts w:asciiTheme="majorHAnsi" w:hAnsiTheme="majorHAnsi" w:cstheme="majorHAnsi"/>
          <w:sz w:val="22"/>
          <w:szCs w:val="22"/>
        </w:rPr>
        <w:t xml:space="preserve">involved </w:t>
      </w:r>
      <w:r>
        <w:rPr>
          <w:rFonts w:asciiTheme="majorHAnsi" w:hAnsiTheme="majorHAnsi" w:cstheme="majorHAnsi"/>
          <w:sz w:val="22"/>
          <w:szCs w:val="22"/>
        </w:rPr>
        <w:t xml:space="preserve">in the Math Statistics </w:t>
      </w:r>
      <w:r w:rsidR="00913065">
        <w:rPr>
          <w:rFonts w:asciiTheme="majorHAnsi" w:hAnsiTheme="majorHAnsi" w:cstheme="majorHAnsi"/>
          <w:sz w:val="22"/>
          <w:szCs w:val="22"/>
        </w:rPr>
        <w:t xml:space="preserve">Pathway Prototype. Math faculty and academic </w:t>
      </w:r>
      <w:r w:rsidR="00511B52">
        <w:rPr>
          <w:rFonts w:asciiTheme="majorHAnsi" w:hAnsiTheme="majorHAnsi" w:cstheme="majorHAnsi"/>
          <w:sz w:val="22"/>
          <w:szCs w:val="22"/>
        </w:rPr>
        <w:t xml:space="preserve">professional </w:t>
      </w:r>
      <w:r w:rsidR="00913065">
        <w:rPr>
          <w:rFonts w:asciiTheme="majorHAnsi" w:hAnsiTheme="majorHAnsi" w:cstheme="majorHAnsi"/>
          <w:sz w:val="22"/>
          <w:szCs w:val="22"/>
        </w:rPr>
        <w:t>staff have participated in the system webinars and meetings to develop the prototype. Math faculty are working on course design for MATH 1401 and MATH 0096</w:t>
      </w:r>
      <w:r w:rsidR="00E67F6E">
        <w:rPr>
          <w:rFonts w:asciiTheme="majorHAnsi" w:hAnsiTheme="majorHAnsi" w:cstheme="majorHAnsi"/>
          <w:sz w:val="22"/>
          <w:szCs w:val="22"/>
        </w:rPr>
        <w:t>. The</w:t>
      </w:r>
      <w:r w:rsidR="00913065">
        <w:rPr>
          <w:rFonts w:asciiTheme="majorHAnsi" w:hAnsiTheme="majorHAnsi" w:cstheme="majorHAnsi"/>
          <w:sz w:val="22"/>
          <w:szCs w:val="22"/>
        </w:rPr>
        <w:t xml:space="preserve"> corequisite learning support course </w:t>
      </w:r>
      <w:r w:rsidR="00E67F6E">
        <w:rPr>
          <w:rFonts w:asciiTheme="majorHAnsi" w:hAnsiTheme="majorHAnsi" w:cstheme="majorHAnsi"/>
          <w:sz w:val="22"/>
          <w:szCs w:val="22"/>
        </w:rPr>
        <w:t>will be modeled on the other LS courses we currently offer (</w:t>
      </w:r>
      <w:r w:rsidR="00913065">
        <w:rPr>
          <w:rFonts w:asciiTheme="majorHAnsi" w:hAnsiTheme="majorHAnsi" w:cstheme="majorHAnsi"/>
          <w:sz w:val="22"/>
          <w:szCs w:val="22"/>
        </w:rPr>
        <w:t>1 credit hour, 2 contact hours per week)</w:t>
      </w:r>
      <w:r w:rsidR="00511B52">
        <w:rPr>
          <w:rFonts w:asciiTheme="majorHAnsi" w:hAnsiTheme="majorHAnsi" w:cstheme="majorHAnsi"/>
          <w:sz w:val="22"/>
          <w:szCs w:val="22"/>
        </w:rPr>
        <w:t>. The Math department is working with other academic department</w:t>
      </w:r>
      <w:r w:rsidR="00E67F6E">
        <w:rPr>
          <w:rFonts w:asciiTheme="majorHAnsi" w:hAnsiTheme="majorHAnsi" w:cstheme="majorHAnsi"/>
          <w:sz w:val="22"/>
          <w:szCs w:val="22"/>
        </w:rPr>
        <w:t>s</w:t>
      </w:r>
      <w:r w:rsidR="00511B52">
        <w:rPr>
          <w:rFonts w:asciiTheme="majorHAnsi" w:hAnsiTheme="majorHAnsi" w:cstheme="majorHAnsi"/>
          <w:sz w:val="22"/>
          <w:szCs w:val="22"/>
        </w:rPr>
        <w:t xml:space="preserve"> to</w:t>
      </w:r>
      <w:r w:rsidR="00E67F6E">
        <w:rPr>
          <w:rFonts w:asciiTheme="majorHAnsi" w:hAnsiTheme="majorHAnsi" w:cstheme="majorHAnsi"/>
          <w:sz w:val="22"/>
          <w:szCs w:val="22"/>
        </w:rPr>
        <w:t xml:space="preserve"> determine which major programs will</w:t>
      </w:r>
      <w:r w:rsidR="00511B52">
        <w:rPr>
          <w:rFonts w:asciiTheme="majorHAnsi" w:hAnsiTheme="majorHAnsi" w:cstheme="majorHAnsi"/>
          <w:sz w:val="22"/>
          <w:szCs w:val="22"/>
        </w:rPr>
        <w:t xml:space="preserve"> utilize the new statistics course</w:t>
      </w:r>
      <w:r w:rsidR="00E67F6E">
        <w:rPr>
          <w:rFonts w:asciiTheme="majorHAnsi" w:hAnsiTheme="majorHAnsi" w:cstheme="majorHAnsi"/>
          <w:sz w:val="22"/>
          <w:szCs w:val="22"/>
        </w:rPr>
        <w:t xml:space="preserve"> in Area A</w:t>
      </w:r>
      <w:r w:rsidR="00511B52">
        <w:rPr>
          <w:rFonts w:asciiTheme="majorHAnsi" w:hAnsiTheme="majorHAnsi" w:cstheme="majorHAnsi"/>
          <w:sz w:val="22"/>
          <w:szCs w:val="22"/>
        </w:rPr>
        <w:t>. Academic professional staff</w:t>
      </w:r>
      <w:r w:rsidR="00913065">
        <w:rPr>
          <w:rFonts w:asciiTheme="majorHAnsi" w:hAnsiTheme="majorHAnsi" w:cstheme="majorHAnsi"/>
          <w:sz w:val="22"/>
          <w:szCs w:val="22"/>
        </w:rPr>
        <w:t xml:space="preserve"> </w:t>
      </w:r>
      <w:r w:rsidR="00FC127B">
        <w:rPr>
          <w:rFonts w:asciiTheme="majorHAnsi" w:hAnsiTheme="majorHAnsi" w:cstheme="majorHAnsi"/>
          <w:sz w:val="22"/>
          <w:szCs w:val="22"/>
        </w:rPr>
        <w:t xml:space="preserve">are working to develop advisement and placement processes for summer orientation. UWG will implement MATH 1401/0996 in </w:t>
      </w:r>
      <w:r w:rsidR="009721B6">
        <w:rPr>
          <w:rFonts w:asciiTheme="majorHAnsi" w:hAnsiTheme="majorHAnsi" w:cstheme="majorHAnsi"/>
          <w:sz w:val="22"/>
          <w:szCs w:val="22"/>
        </w:rPr>
        <w:t>fall</w:t>
      </w:r>
      <w:r w:rsidR="00FC127B">
        <w:rPr>
          <w:rFonts w:asciiTheme="majorHAnsi" w:hAnsiTheme="majorHAnsi" w:cstheme="majorHAnsi"/>
          <w:sz w:val="22"/>
          <w:szCs w:val="22"/>
        </w:rPr>
        <w:t xml:space="preserve"> 2020. </w:t>
      </w:r>
    </w:p>
    <w:p w:rsidR="00CC2759" w:rsidRPr="00062652" w:rsidRDefault="00CC2759" w:rsidP="00754B24">
      <w:pPr>
        <w:rPr>
          <w:rFonts w:asciiTheme="majorHAnsi" w:hAnsiTheme="majorHAnsi" w:cstheme="majorHAnsi"/>
          <w:sz w:val="22"/>
          <w:szCs w:val="22"/>
        </w:rPr>
      </w:pPr>
    </w:p>
    <w:p w:rsidR="00754B24" w:rsidRPr="00062652" w:rsidRDefault="00DF44D8" w:rsidP="00754B24">
      <w:pPr>
        <w:rPr>
          <w:rFonts w:asciiTheme="majorHAnsi" w:hAnsiTheme="majorHAnsi" w:cstheme="majorHAnsi"/>
          <w:b/>
          <w:sz w:val="22"/>
          <w:szCs w:val="22"/>
        </w:rPr>
      </w:pPr>
      <w:r>
        <w:rPr>
          <w:rFonts w:asciiTheme="majorHAnsi" w:hAnsiTheme="majorHAnsi" w:cstheme="majorHAnsi"/>
          <w:b/>
          <w:sz w:val="22"/>
          <w:szCs w:val="22"/>
        </w:rPr>
        <w:t>Academic Focus Areas</w:t>
      </w:r>
    </w:p>
    <w:p w:rsidR="00754B24" w:rsidRDefault="00DF44D8" w:rsidP="00193F97">
      <w:pPr>
        <w:jc w:val="both"/>
        <w:rPr>
          <w:rFonts w:asciiTheme="majorHAnsi" w:hAnsiTheme="majorHAnsi" w:cstheme="majorHAnsi"/>
          <w:sz w:val="22"/>
          <w:szCs w:val="22"/>
        </w:rPr>
      </w:pPr>
      <w:r>
        <w:rPr>
          <w:rFonts w:asciiTheme="majorHAnsi" w:hAnsiTheme="majorHAnsi" w:cstheme="majorHAnsi"/>
          <w:sz w:val="22"/>
          <w:szCs w:val="22"/>
        </w:rPr>
        <w:t xml:space="preserve">Collaboration between </w:t>
      </w:r>
      <w:r w:rsidR="00182F61">
        <w:rPr>
          <w:rFonts w:asciiTheme="majorHAnsi" w:hAnsiTheme="majorHAnsi" w:cstheme="majorHAnsi"/>
          <w:sz w:val="22"/>
          <w:szCs w:val="22"/>
        </w:rPr>
        <w:t xml:space="preserve">colleges and departments </w:t>
      </w:r>
      <w:r>
        <w:rPr>
          <w:rFonts w:asciiTheme="majorHAnsi" w:hAnsiTheme="majorHAnsi" w:cstheme="majorHAnsi"/>
          <w:sz w:val="22"/>
          <w:szCs w:val="22"/>
        </w:rPr>
        <w:t xml:space="preserve">in Academic Affairs and </w:t>
      </w:r>
      <w:r w:rsidR="00182F61">
        <w:rPr>
          <w:rFonts w:asciiTheme="majorHAnsi" w:hAnsiTheme="majorHAnsi" w:cstheme="majorHAnsi"/>
          <w:sz w:val="22"/>
          <w:szCs w:val="22"/>
        </w:rPr>
        <w:t xml:space="preserve">student success units in Student Affairs &amp; Enrollment </w:t>
      </w:r>
      <w:r w:rsidR="00B127B8">
        <w:rPr>
          <w:rFonts w:asciiTheme="majorHAnsi" w:hAnsiTheme="majorHAnsi" w:cstheme="majorHAnsi"/>
          <w:sz w:val="22"/>
          <w:szCs w:val="22"/>
        </w:rPr>
        <w:t xml:space="preserve">Management </w:t>
      </w:r>
      <w:r w:rsidR="00182F61">
        <w:rPr>
          <w:rFonts w:asciiTheme="majorHAnsi" w:hAnsiTheme="majorHAnsi" w:cstheme="majorHAnsi"/>
          <w:sz w:val="22"/>
          <w:szCs w:val="22"/>
        </w:rPr>
        <w:t xml:space="preserve">led to creation of </w:t>
      </w:r>
      <w:r w:rsidR="00754B24" w:rsidRPr="00062652">
        <w:rPr>
          <w:rFonts w:asciiTheme="majorHAnsi" w:hAnsiTheme="majorHAnsi" w:cstheme="majorHAnsi"/>
          <w:sz w:val="22"/>
          <w:szCs w:val="22"/>
        </w:rPr>
        <w:t>nine academic focus areas</w:t>
      </w:r>
      <w:r w:rsidR="00182F61">
        <w:rPr>
          <w:rFonts w:asciiTheme="majorHAnsi" w:hAnsiTheme="majorHAnsi" w:cstheme="majorHAnsi"/>
          <w:sz w:val="22"/>
          <w:szCs w:val="22"/>
        </w:rPr>
        <w:t xml:space="preserve">, which were </w:t>
      </w:r>
      <w:r w:rsidR="00754B24" w:rsidRPr="00062652">
        <w:rPr>
          <w:rFonts w:asciiTheme="majorHAnsi" w:hAnsiTheme="majorHAnsi" w:cstheme="majorHAnsi"/>
          <w:sz w:val="22"/>
          <w:szCs w:val="22"/>
        </w:rPr>
        <w:t>approved by the faculty senate</w:t>
      </w:r>
      <w:r w:rsidR="00182F61">
        <w:rPr>
          <w:rFonts w:asciiTheme="majorHAnsi" w:hAnsiTheme="majorHAnsi" w:cstheme="majorHAnsi"/>
          <w:sz w:val="22"/>
          <w:szCs w:val="22"/>
        </w:rPr>
        <w:t xml:space="preserve"> in 2018</w:t>
      </w:r>
      <w:r w:rsidR="00754B24" w:rsidRPr="00062652">
        <w:rPr>
          <w:rFonts w:asciiTheme="majorHAnsi" w:hAnsiTheme="majorHAnsi" w:cstheme="majorHAnsi"/>
          <w:sz w:val="22"/>
          <w:szCs w:val="22"/>
        </w:rPr>
        <w:t xml:space="preserve">: Arts, Business, Education, Health Professions, </w:t>
      </w:r>
      <w:r w:rsidR="00193F97" w:rsidRPr="00062652">
        <w:rPr>
          <w:rFonts w:asciiTheme="majorHAnsi" w:hAnsiTheme="majorHAnsi" w:cstheme="majorHAnsi"/>
          <w:sz w:val="22"/>
          <w:szCs w:val="22"/>
        </w:rPr>
        <w:t xml:space="preserve">Humanities, </w:t>
      </w:r>
      <w:r w:rsidR="00754B24" w:rsidRPr="00062652">
        <w:rPr>
          <w:rFonts w:asciiTheme="majorHAnsi" w:hAnsiTheme="majorHAnsi" w:cstheme="majorHAnsi"/>
          <w:sz w:val="22"/>
          <w:szCs w:val="22"/>
        </w:rPr>
        <w:t>Social Sciences, STEM: Science Foc</w:t>
      </w:r>
      <w:r w:rsidR="00182F61">
        <w:rPr>
          <w:rFonts w:asciiTheme="majorHAnsi" w:hAnsiTheme="majorHAnsi" w:cstheme="majorHAnsi"/>
          <w:sz w:val="22"/>
          <w:szCs w:val="22"/>
        </w:rPr>
        <w:t xml:space="preserve">us, STEM: Technology Focus, </w:t>
      </w:r>
      <w:r w:rsidR="00AF2D36" w:rsidRPr="00062652">
        <w:rPr>
          <w:rFonts w:asciiTheme="majorHAnsi" w:hAnsiTheme="majorHAnsi" w:cstheme="majorHAnsi"/>
          <w:sz w:val="22"/>
          <w:szCs w:val="22"/>
        </w:rPr>
        <w:t xml:space="preserve">and </w:t>
      </w:r>
      <w:r w:rsidR="00754B24" w:rsidRPr="00062652">
        <w:rPr>
          <w:rFonts w:asciiTheme="majorHAnsi" w:hAnsiTheme="majorHAnsi" w:cstheme="majorHAnsi"/>
          <w:sz w:val="22"/>
          <w:szCs w:val="22"/>
        </w:rPr>
        <w:t>Wellness and Sports.</w:t>
      </w:r>
      <w:r w:rsidR="00AF2D36" w:rsidRPr="00062652">
        <w:rPr>
          <w:rFonts w:asciiTheme="majorHAnsi" w:hAnsiTheme="majorHAnsi" w:cstheme="majorHAnsi"/>
          <w:sz w:val="22"/>
          <w:szCs w:val="22"/>
        </w:rPr>
        <w:t xml:space="preserve"> </w:t>
      </w:r>
      <w:r w:rsidR="00182F61">
        <w:rPr>
          <w:rFonts w:asciiTheme="majorHAnsi" w:hAnsiTheme="majorHAnsi" w:cstheme="majorHAnsi"/>
          <w:sz w:val="22"/>
          <w:szCs w:val="22"/>
        </w:rPr>
        <w:t>These focus areas have been used in the admissions, advising, and orientation process for the past two summers</w:t>
      </w:r>
      <w:r w:rsidR="00B127B8">
        <w:rPr>
          <w:rFonts w:asciiTheme="majorHAnsi" w:hAnsiTheme="majorHAnsi" w:cstheme="majorHAnsi"/>
          <w:sz w:val="22"/>
          <w:szCs w:val="22"/>
        </w:rPr>
        <w:t xml:space="preserve"> (2018 and 2019)</w:t>
      </w:r>
      <w:r w:rsidR="00182F61">
        <w:rPr>
          <w:rFonts w:asciiTheme="majorHAnsi" w:hAnsiTheme="majorHAnsi" w:cstheme="majorHAnsi"/>
          <w:sz w:val="22"/>
          <w:szCs w:val="22"/>
        </w:rPr>
        <w:t>. All entering students who have not declared a major are advised and placed into a focus area. Every</w:t>
      </w:r>
      <w:r w:rsidR="00754B24" w:rsidRPr="00062652">
        <w:rPr>
          <w:rFonts w:asciiTheme="majorHAnsi" w:hAnsiTheme="majorHAnsi" w:cstheme="majorHAnsi"/>
          <w:sz w:val="22"/>
          <w:szCs w:val="22"/>
        </w:rPr>
        <w:t xml:space="preserve"> focus area includes three common courses that students </w:t>
      </w:r>
      <w:r w:rsidR="00182F61">
        <w:rPr>
          <w:rFonts w:asciiTheme="majorHAnsi" w:hAnsiTheme="majorHAnsi" w:cstheme="majorHAnsi"/>
          <w:sz w:val="22"/>
          <w:szCs w:val="22"/>
        </w:rPr>
        <w:t xml:space="preserve">complete </w:t>
      </w:r>
      <w:r w:rsidR="00754B24" w:rsidRPr="00062652">
        <w:rPr>
          <w:rFonts w:asciiTheme="majorHAnsi" w:hAnsiTheme="majorHAnsi" w:cstheme="majorHAnsi"/>
          <w:sz w:val="22"/>
          <w:szCs w:val="22"/>
        </w:rPr>
        <w:t>in the first year</w:t>
      </w:r>
      <w:r w:rsidR="00182F61">
        <w:rPr>
          <w:rFonts w:asciiTheme="majorHAnsi" w:hAnsiTheme="majorHAnsi" w:cstheme="majorHAnsi"/>
          <w:sz w:val="22"/>
          <w:szCs w:val="22"/>
        </w:rPr>
        <w:t xml:space="preserve"> and that count toward general education requirements</w:t>
      </w:r>
      <w:r w:rsidR="00754B24" w:rsidRPr="00062652">
        <w:rPr>
          <w:rFonts w:asciiTheme="majorHAnsi" w:hAnsiTheme="majorHAnsi" w:cstheme="majorHAnsi"/>
          <w:sz w:val="22"/>
          <w:szCs w:val="22"/>
        </w:rPr>
        <w:t xml:space="preserve">. UWG </w:t>
      </w:r>
      <w:r w:rsidR="00182F61">
        <w:rPr>
          <w:rFonts w:asciiTheme="majorHAnsi" w:hAnsiTheme="majorHAnsi" w:cstheme="majorHAnsi"/>
          <w:sz w:val="22"/>
          <w:szCs w:val="22"/>
        </w:rPr>
        <w:t xml:space="preserve">is now able to </w:t>
      </w:r>
      <w:r w:rsidR="00754B24" w:rsidRPr="00062652">
        <w:rPr>
          <w:rFonts w:asciiTheme="majorHAnsi" w:hAnsiTheme="majorHAnsi" w:cstheme="majorHAnsi"/>
          <w:sz w:val="22"/>
          <w:szCs w:val="22"/>
        </w:rPr>
        <w:t>track the progression of students in focus areas, including their progress in th</w:t>
      </w:r>
      <w:r w:rsidR="00182F61">
        <w:rPr>
          <w:rFonts w:asciiTheme="majorHAnsi" w:hAnsiTheme="majorHAnsi" w:cstheme="majorHAnsi"/>
          <w:sz w:val="22"/>
          <w:szCs w:val="22"/>
        </w:rPr>
        <w:t xml:space="preserve">e required focus areas courses. </w:t>
      </w:r>
    </w:p>
    <w:p w:rsidR="000720DF" w:rsidRDefault="000720DF" w:rsidP="00193F97">
      <w:pPr>
        <w:jc w:val="both"/>
        <w:rPr>
          <w:rFonts w:asciiTheme="majorHAnsi" w:hAnsiTheme="majorHAnsi" w:cstheme="majorHAnsi"/>
          <w:sz w:val="22"/>
          <w:szCs w:val="22"/>
        </w:rPr>
      </w:pPr>
    </w:p>
    <w:p w:rsidR="00754B24" w:rsidRPr="00062652" w:rsidRDefault="000720DF" w:rsidP="00193F97">
      <w:pPr>
        <w:jc w:val="both"/>
        <w:rPr>
          <w:rFonts w:asciiTheme="majorHAnsi" w:hAnsiTheme="majorHAnsi" w:cstheme="majorHAnsi"/>
          <w:sz w:val="22"/>
          <w:szCs w:val="22"/>
        </w:rPr>
      </w:pPr>
      <w:r>
        <w:rPr>
          <w:rFonts w:asciiTheme="majorHAnsi" w:hAnsiTheme="majorHAnsi" w:cstheme="majorHAnsi"/>
          <w:sz w:val="22"/>
          <w:szCs w:val="22"/>
        </w:rPr>
        <w:t xml:space="preserve">The initial implementation of focus areas has been successful, but </w:t>
      </w:r>
      <w:r w:rsidR="00B127B8">
        <w:rPr>
          <w:rFonts w:asciiTheme="majorHAnsi" w:hAnsiTheme="majorHAnsi" w:cstheme="majorHAnsi"/>
          <w:sz w:val="22"/>
          <w:szCs w:val="22"/>
        </w:rPr>
        <w:t>UWG is working to improve focus areas</w:t>
      </w:r>
      <w:r w:rsidR="00CC6070">
        <w:rPr>
          <w:rFonts w:asciiTheme="majorHAnsi" w:hAnsiTheme="majorHAnsi" w:cstheme="majorHAnsi"/>
          <w:sz w:val="22"/>
          <w:szCs w:val="22"/>
        </w:rPr>
        <w:t xml:space="preserve"> in the following ways</w:t>
      </w:r>
      <w:r w:rsidR="00B127B8">
        <w:rPr>
          <w:rFonts w:asciiTheme="majorHAnsi" w:hAnsiTheme="majorHAnsi" w:cstheme="majorHAnsi"/>
          <w:sz w:val="22"/>
          <w:szCs w:val="22"/>
        </w:rPr>
        <w:t xml:space="preserve">: </w:t>
      </w:r>
      <w:r w:rsidR="005B2F01">
        <w:rPr>
          <w:rFonts w:asciiTheme="majorHAnsi" w:hAnsiTheme="majorHAnsi" w:cstheme="majorHAnsi"/>
          <w:sz w:val="22"/>
          <w:szCs w:val="22"/>
        </w:rPr>
        <w:t xml:space="preserve"> 1) </w:t>
      </w:r>
      <w:r w:rsidR="00CC6070">
        <w:rPr>
          <w:rFonts w:asciiTheme="majorHAnsi" w:hAnsiTheme="majorHAnsi" w:cstheme="majorHAnsi"/>
          <w:sz w:val="22"/>
          <w:szCs w:val="22"/>
        </w:rPr>
        <w:t>M</w:t>
      </w:r>
      <w:r w:rsidR="005B2F01">
        <w:rPr>
          <w:rFonts w:asciiTheme="majorHAnsi" w:hAnsiTheme="majorHAnsi" w:cstheme="majorHAnsi"/>
          <w:sz w:val="22"/>
          <w:szCs w:val="22"/>
        </w:rPr>
        <w:t xml:space="preserve">any students, parents, faculty, and professional staff still </w:t>
      </w:r>
      <w:r w:rsidR="00CD72F4">
        <w:rPr>
          <w:rFonts w:asciiTheme="majorHAnsi" w:hAnsiTheme="majorHAnsi" w:cstheme="majorHAnsi"/>
          <w:sz w:val="22"/>
          <w:szCs w:val="22"/>
        </w:rPr>
        <w:t xml:space="preserve">are </w:t>
      </w:r>
      <w:r w:rsidR="005B2F01">
        <w:rPr>
          <w:rFonts w:asciiTheme="majorHAnsi" w:hAnsiTheme="majorHAnsi" w:cstheme="majorHAnsi"/>
          <w:sz w:val="22"/>
          <w:szCs w:val="22"/>
        </w:rPr>
        <w:t>not clear about what focus areas are and their purpose/value</w:t>
      </w:r>
      <w:r w:rsidR="00CC6070">
        <w:rPr>
          <w:rFonts w:asciiTheme="majorHAnsi" w:hAnsiTheme="majorHAnsi" w:cstheme="majorHAnsi"/>
          <w:sz w:val="22"/>
          <w:szCs w:val="22"/>
        </w:rPr>
        <w:t xml:space="preserve"> in terms of helping students select a major and a purposeful pathway. F</w:t>
      </w:r>
      <w:r w:rsidR="005B2F01">
        <w:rPr>
          <w:rFonts w:asciiTheme="majorHAnsi" w:hAnsiTheme="majorHAnsi" w:cstheme="majorHAnsi"/>
          <w:sz w:val="22"/>
          <w:szCs w:val="22"/>
        </w:rPr>
        <w:t xml:space="preserve">urther work needs to be done in the admissions, orientation, and advising process to </w:t>
      </w:r>
      <w:r w:rsidR="00CC6070">
        <w:rPr>
          <w:rFonts w:asciiTheme="majorHAnsi" w:hAnsiTheme="majorHAnsi" w:cstheme="majorHAnsi"/>
          <w:sz w:val="22"/>
          <w:szCs w:val="22"/>
        </w:rPr>
        <w:t xml:space="preserve">communicate what focus areas are, including </w:t>
      </w:r>
      <w:r w:rsidR="005B2F01">
        <w:rPr>
          <w:rFonts w:asciiTheme="majorHAnsi" w:hAnsiTheme="majorHAnsi" w:cstheme="majorHAnsi"/>
          <w:sz w:val="22"/>
          <w:szCs w:val="22"/>
        </w:rPr>
        <w:t xml:space="preserve">information sessions and print/web resources; 2) </w:t>
      </w:r>
      <w:r w:rsidR="00CC6070">
        <w:rPr>
          <w:rFonts w:asciiTheme="majorHAnsi" w:hAnsiTheme="majorHAnsi" w:cstheme="majorHAnsi"/>
          <w:sz w:val="22"/>
          <w:szCs w:val="22"/>
        </w:rPr>
        <w:t>Ongoing assessment</w:t>
      </w:r>
      <w:r w:rsidR="00B127B8">
        <w:rPr>
          <w:rFonts w:asciiTheme="majorHAnsi" w:hAnsiTheme="majorHAnsi" w:cstheme="majorHAnsi"/>
          <w:sz w:val="22"/>
          <w:szCs w:val="22"/>
        </w:rPr>
        <w:t xml:space="preserve"> of the three aligned focus area courses that students take in the first year to ensure that these courses are helping students make a purposeful choice</w:t>
      </w:r>
      <w:r w:rsidR="00CD72F4">
        <w:rPr>
          <w:rFonts w:asciiTheme="majorHAnsi" w:hAnsiTheme="majorHAnsi" w:cstheme="majorHAnsi"/>
          <w:sz w:val="22"/>
          <w:szCs w:val="22"/>
        </w:rPr>
        <w:t>.</w:t>
      </w:r>
    </w:p>
    <w:p w:rsidR="00754B24" w:rsidRPr="00062652" w:rsidRDefault="00754B24" w:rsidP="00754B24">
      <w:pPr>
        <w:rPr>
          <w:rFonts w:asciiTheme="majorHAnsi" w:hAnsiTheme="majorHAnsi" w:cstheme="majorHAnsi"/>
          <w:sz w:val="22"/>
          <w:szCs w:val="22"/>
        </w:rPr>
      </w:pPr>
    </w:p>
    <w:p w:rsidR="00754B24" w:rsidRDefault="00754B24" w:rsidP="00CD72F4">
      <w:pPr>
        <w:rPr>
          <w:rFonts w:asciiTheme="majorHAnsi" w:hAnsiTheme="majorHAnsi" w:cstheme="majorHAnsi"/>
          <w:sz w:val="22"/>
          <w:szCs w:val="22"/>
        </w:rPr>
      </w:pPr>
      <w:r w:rsidRPr="00062652">
        <w:rPr>
          <w:rFonts w:asciiTheme="majorHAnsi" w:hAnsiTheme="majorHAnsi" w:cstheme="majorHAnsi"/>
          <w:b/>
          <w:sz w:val="22"/>
          <w:szCs w:val="22"/>
        </w:rPr>
        <w:t>Academic Mindset</w:t>
      </w:r>
    </w:p>
    <w:p w:rsidR="00E553D7" w:rsidRDefault="00E553D7" w:rsidP="002160B6">
      <w:pPr>
        <w:jc w:val="both"/>
        <w:rPr>
          <w:rFonts w:asciiTheme="majorHAnsi" w:hAnsiTheme="majorHAnsi" w:cstheme="majorHAnsi"/>
          <w:b/>
          <w:sz w:val="22"/>
          <w:szCs w:val="22"/>
        </w:rPr>
      </w:pPr>
    </w:p>
    <w:p w:rsidR="00CD72F4" w:rsidRPr="00CD72F4" w:rsidRDefault="002160B6" w:rsidP="002160B6">
      <w:pPr>
        <w:jc w:val="both"/>
        <w:rPr>
          <w:rFonts w:asciiTheme="majorHAnsi" w:hAnsiTheme="majorHAnsi" w:cstheme="majorHAnsi"/>
          <w:sz w:val="22"/>
          <w:szCs w:val="22"/>
        </w:rPr>
      </w:pPr>
      <w:r w:rsidRPr="002160B6">
        <w:rPr>
          <w:rFonts w:asciiTheme="majorHAnsi" w:hAnsiTheme="majorHAnsi" w:cstheme="majorHAnsi"/>
          <w:b/>
          <w:sz w:val="22"/>
          <w:szCs w:val="22"/>
        </w:rPr>
        <w:t>First-Year Seminar</w:t>
      </w:r>
      <w:r>
        <w:rPr>
          <w:rFonts w:asciiTheme="majorHAnsi" w:hAnsiTheme="majorHAnsi" w:cstheme="majorHAnsi"/>
          <w:sz w:val="22"/>
          <w:szCs w:val="22"/>
        </w:rPr>
        <w:t xml:space="preserve">: </w:t>
      </w:r>
      <w:r w:rsidR="00CD72F4" w:rsidRPr="00CD72F4">
        <w:rPr>
          <w:rFonts w:asciiTheme="majorHAnsi" w:hAnsiTheme="majorHAnsi" w:cstheme="majorHAnsi"/>
          <w:sz w:val="22"/>
          <w:szCs w:val="22"/>
        </w:rPr>
        <w:t xml:space="preserve">In fall 2017, UWG implemented a new First-Year Seminar to support student success and transition in the first year. In the first year, UWG piloted 28 sections. For fall 2019, there are 75 sections (approximately 1,300 or 75% first-year students enrolled). These seminars, each with a unique academic focus, are aligned to the USG Momentum Approach and are designed to help students develop the academic skills and growth mindset necessary for college success. The seminar incorporates academic success experiences that focus on career explorations, information literacy, writing, and peer mentoring/tutoring. </w:t>
      </w:r>
      <w:r>
        <w:rPr>
          <w:rFonts w:asciiTheme="majorHAnsi" w:hAnsiTheme="majorHAnsi" w:cstheme="majorHAnsi"/>
          <w:sz w:val="22"/>
          <w:szCs w:val="22"/>
        </w:rPr>
        <w:t>UWG utilizes its first-year seminar to encourage students to complete the</w:t>
      </w:r>
      <w:r w:rsidR="00CD72F4" w:rsidRPr="00CD72F4">
        <w:rPr>
          <w:rFonts w:asciiTheme="majorHAnsi" w:hAnsiTheme="majorHAnsi" w:cstheme="majorHAnsi"/>
          <w:sz w:val="22"/>
          <w:szCs w:val="22"/>
        </w:rPr>
        <w:t xml:space="preserve"> USG academic mindset survey. Faculty and credential staff from across campus have been actively involved in the development and teaching of the new seminar, and they participate in a summer course design wor</w:t>
      </w:r>
      <w:r>
        <w:rPr>
          <w:rFonts w:asciiTheme="majorHAnsi" w:hAnsiTheme="majorHAnsi" w:cstheme="majorHAnsi"/>
          <w:sz w:val="22"/>
          <w:szCs w:val="22"/>
        </w:rPr>
        <w:t xml:space="preserve">kshop on first-year experience that includes information on academic mindset. Students who take first-year seminar are retained at a higher percentage across most demographic categories, including first-generation and pell-eligible students. </w:t>
      </w:r>
    </w:p>
    <w:p w:rsidR="002160B6" w:rsidRDefault="002160B6" w:rsidP="00193F97">
      <w:pPr>
        <w:jc w:val="both"/>
        <w:rPr>
          <w:rFonts w:asciiTheme="majorHAnsi" w:hAnsiTheme="majorHAnsi" w:cstheme="majorHAnsi"/>
          <w:sz w:val="22"/>
          <w:szCs w:val="22"/>
        </w:rPr>
      </w:pPr>
    </w:p>
    <w:p w:rsidR="002160B6" w:rsidRPr="002160B6" w:rsidRDefault="00B75895" w:rsidP="002160B6">
      <w:pPr>
        <w:jc w:val="both"/>
        <w:rPr>
          <w:rFonts w:asciiTheme="majorHAnsi" w:hAnsiTheme="majorHAnsi" w:cstheme="majorHAnsi"/>
          <w:sz w:val="22"/>
          <w:szCs w:val="22"/>
        </w:rPr>
      </w:pPr>
      <w:r w:rsidRPr="002160B6">
        <w:rPr>
          <w:rFonts w:asciiTheme="majorHAnsi" w:hAnsiTheme="majorHAnsi" w:cstheme="majorHAnsi"/>
          <w:b/>
          <w:sz w:val="22"/>
          <w:szCs w:val="22"/>
        </w:rPr>
        <w:lastRenderedPageBreak/>
        <w:t>Early Alert</w:t>
      </w:r>
      <w:r w:rsidRPr="00062652">
        <w:rPr>
          <w:rFonts w:asciiTheme="majorHAnsi" w:hAnsiTheme="majorHAnsi" w:cstheme="majorHAnsi"/>
          <w:sz w:val="22"/>
          <w:szCs w:val="22"/>
        </w:rPr>
        <w:t xml:space="preserve">: </w:t>
      </w:r>
      <w:r w:rsidR="002160B6" w:rsidRPr="002160B6">
        <w:rPr>
          <w:rFonts w:asciiTheme="majorHAnsi" w:hAnsiTheme="majorHAnsi" w:cstheme="majorHAnsi"/>
          <w:sz w:val="22"/>
          <w:szCs w:val="22"/>
        </w:rPr>
        <w:t xml:space="preserve">Efforts to increase Early Alerts (especially in core courses) </w:t>
      </w:r>
      <w:r w:rsidR="002160B6">
        <w:rPr>
          <w:rFonts w:asciiTheme="majorHAnsi" w:hAnsiTheme="majorHAnsi" w:cstheme="majorHAnsi"/>
          <w:sz w:val="22"/>
          <w:szCs w:val="22"/>
        </w:rPr>
        <w:t xml:space="preserve">became </w:t>
      </w:r>
      <w:r w:rsidR="002160B6" w:rsidRPr="002160B6">
        <w:rPr>
          <w:rFonts w:asciiTheme="majorHAnsi" w:hAnsiTheme="majorHAnsi" w:cstheme="majorHAnsi"/>
          <w:sz w:val="22"/>
          <w:szCs w:val="22"/>
        </w:rPr>
        <w:t xml:space="preserve">an institutional priority </w:t>
      </w:r>
      <w:r w:rsidR="002160B6">
        <w:rPr>
          <w:rFonts w:asciiTheme="majorHAnsi" w:hAnsiTheme="majorHAnsi" w:cstheme="majorHAnsi"/>
          <w:sz w:val="22"/>
          <w:szCs w:val="22"/>
        </w:rPr>
        <w:t xml:space="preserve">last year </w:t>
      </w:r>
      <w:r w:rsidR="002160B6" w:rsidRPr="002160B6">
        <w:rPr>
          <w:rFonts w:asciiTheme="majorHAnsi" w:hAnsiTheme="majorHAnsi" w:cstheme="majorHAnsi"/>
          <w:sz w:val="22"/>
          <w:szCs w:val="22"/>
        </w:rPr>
        <w:t>and has resulted in a significant increase in the number of faculty submitting early alerts that are direct</w:t>
      </w:r>
      <w:r w:rsidR="002160B6">
        <w:rPr>
          <w:rFonts w:asciiTheme="majorHAnsi" w:hAnsiTheme="majorHAnsi" w:cstheme="majorHAnsi"/>
          <w:sz w:val="22"/>
          <w:szCs w:val="22"/>
        </w:rPr>
        <w:t>ed</w:t>
      </w:r>
      <w:r w:rsidR="002160B6" w:rsidRPr="002160B6">
        <w:rPr>
          <w:rFonts w:asciiTheme="majorHAnsi" w:hAnsiTheme="majorHAnsi" w:cstheme="majorHAnsi"/>
          <w:sz w:val="22"/>
          <w:szCs w:val="22"/>
        </w:rPr>
        <w:t xml:space="preserve"> to different student support units on campus</w:t>
      </w:r>
      <w:r w:rsidR="002160B6">
        <w:rPr>
          <w:rFonts w:asciiTheme="majorHAnsi" w:hAnsiTheme="majorHAnsi" w:cstheme="majorHAnsi"/>
          <w:sz w:val="22"/>
          <w:szCs w:val="22"/>
        </w:rPr>
        <w:t xml:space="preserve">, </w:t>
      </w:r>
      <w:r w:rsidR="002160B6" w:rsidRPr="002160B6">
        <w:rPr>
          <w:rFonts w:asciiTheme="majorHAnsi" w:hAnsiTheme="majorHAnsi" w:cstheme="majorHAnsi"/>
          <w:sz w:val="22"/>
          <w:szCs w:val="22"/>
        </w:rPr>
        <w:t>depending on the nature of the alert</w:t>
      </w:r>
      <w:r w:rsidR="002160B6">
        <w:rPr>
          <w:rFonts w:asciiTheme="majorHAnsi" w:hAnsiTheme="majorHAnsi" w:cstheme="majorHAnsi"/>
          <w:sz w:val="22"/>
          <w:szCs w:val="22"/>
        </w:rPr>
        <w:t xml:space="preserve"> (</w:t>
      </w:r>
      <w:r w:rsidR="002160B6" w:rsidRPr="002160B6">
        <w:rPr>
          <w:rFonts w:asciiTheme="majorHAnsi" w:hAnsiTheme="majorHAnsi" w:cstheme="majorHAnsi"/>
          <w:sz w:val="22"/>
          <w:szCs w:val="22"/>
        </w:rPr>
        <w:t>Center for Academic Success, Academic Advising Center, Counseling Center, etc.</w:t>
      </w:r>
      <w:r w:rsidR="002160B6">
        <w:rPr>
          <w:rFonts w:asciiTheme="majorHAnsi" w:hAnsiTheme="majorHAnsi" w:cstheme="majorHAnsi"/>
          <w:sz w:val="22"/>
          <w:szCs w:val="22"/>
        </w:rPr>
        <w:t xml:space="preserve">). In 2018-2019, UWG had </w:t>
      </w:r>
      <w:r w:rsidR="001C325C">
        <w:rPr>
          <w:rFonts w:asciiTheme="majorHAnsi" w:hAnsiTheme="majorHAnsi" w:cstheme="majorHAnsi"/>
          <w:sz w:val="22"/>
          <w:szCs w:val="22"/>
        </w:rPr>
        <w:t>a record number of</w:t>
      </w:r>
      <w:r w:rsidR="002160B6">
        <w:rPr>
          <w:rFonts w:asciiTheme="majorHAnsi" w:hAnsiTheme="majorHAnsi" w:cstheme="majorHAnsi"/>
          <w:sz w:val="22"/>
          <w:szCs w:val="22"/>
        </w:rPr>
        <w:t xml:space="preserve"> early alerts </w:t>
      </w:r>
      <w:r w:rsidR="001C325C">
        <w:rPr>
          <w:rFonts w:asciiTheme="majorHAnsi" w:hAnsiTheme="majorHAnsi" w:cstheme="majorHAnsi"/>
          <w:sz w:val="22"/>
          <w:szCs w:val="22"/>
        </w:rPr>
        <w:t xml:space="preserve">submitted </w:t>
      </w:r>
      <w:r w:rsidR="002160B6">
        <w:rPr>
          <w:rFonts w:asciiTheme="majorHAnsi" w:hAnsiTheme="majorHAnsi" w:cstheme="majorHAnsi"/>
          <w:sz w:val="22"/>
          <w:szCs w:val="22"/>
        </w:rPr>
        <w:t>and the highest percentage of faculty submitting early alerts</w:t>
      </w:r>
      <w:r w:rsidR="001C325C">
        <w:rPr>
          <w:rFonts w:asciiTheme="majorHAnsi" w:hAnsiTheme="majorHAnsi" w:cstheme="majorHAnsi"/>
          <w:sz w:val="22"/>
          <w:szCs w:val="22"/>
        </w:rPr>
        <w:t xml:space="preserve">. </w:t>
      </w:r>
      <w:r w:rsidR="002160B6">
        <w:rPr>
          <w:rFonts w:asciiTheme="majorHAnsi" w:hAnsiTheme="majorHAnsi" w:cstheme="majorHAnsi"/>
          <w:sz w:val="22"/>
          <w:szCs w:val="22"/>
        </w:rPr>
        <w:t xml:space="preserve"> </w:t>
      </w:r>
      <w:r w:rsidR="001C325C">
        <w:rPr>
          <w:rFonts w:asciiTheme="majorHAnsi" w:hAnsiTheme="majorHAnsi" w:cstheme="majorHAnsi"/>
          <w:sz w:val="22"/>
          <w:szCs w:val="22"/>
        </w:rPr>
        <w:t xml:space="preserve">Alerts are having a significant impact on helping at risk student get the help they need. </w:t>
      </w:r>
      <w:r w:rsidR="002160B6" w:rsidRPr="002160B6">
        <w:rPr>
          <w:rFonts w:asciiTheme="majorHAnsi" w:hAnsiTheme="majorHAnsi" w:cstheme="majorHAnsi"/>
          <w:sz w:val="22"/>
          <w:szCs w:val="22"/>
        </w:rPr>
        <w:t xml:space="preserve"> </w:t>
      </w:r>
    </w:p>
    <w:p w:rsidR="00754B24" w:rsidRPr="00062652" w:rsidRDefault="00754B24" w:rsidP="00193F97">
      <w:pPr>
        <w:jc w:val="both"/>
        <w:rPr>
          <w:rFonts w:asciiTheme="majorHAnsi" w:hAnsiTheme="majorHAnsi" w:cstheme="majorHAnsi"/>
          <w:sz w:val="22"/>
          <w:szCs w:val="22"/>
        </w:rPr>
      </w:pPr>
    </w:p>
    <w:p w:rsidR="00754B24" w:rsidRPr="001C325C" w:rsidRDefault="00B75895" w:rsidP="001C325C">
      <w:pPr>
        <w:jc w:val="both"/>
        <w:rPr>
          <w:rFonts w:asciiTheme="majorHAnsi" w:hAnsiTheme="majorHAnsi" w:cstheme="majorHAnsi"/>
          <w:sz w:val="22"/>
          <w:szCs w:val="22"/>
        </w:rPr>
      </w:pPr>
      <w:r w:rsidRPr="001C325C">
        <w:rPr>
          <w:rFonts w:asciiTheme="majorHAnsi" w:hAnsiTheme="majorHAnsi" w:cstheme="majorHAnsi"/>
          <w:b/>
          <w:sz w:val="22"/>
          <w:szCs w:val="22"/>
        </w:rPr>
        <w:t>Academic Mindset Survey</w:t>
      </w:r>
      <w:r w:rsidRPr="00062652">
        <w:rPr>
          <w:rFonts w:asciiTheme="majorHAnsi" w:hAnsiTheme="majorHAnsi" w:cstheme="majorHAnsi"/>
          <w:sz w:val="22"/>
          <w:szCs w:val="22"/>
        </w:rPr>
        <w:t xml:space="preserve">: </w:t>
      </w:r>
      <w:r w:rsidR="00754B24" w:rsidRPr="00062652">
        <w:rPr>
          <w:rFonts w:asciiTheme="majorHAnsi" w:hAnsiTheme="majorHAnsi" w:cstheme="majorHAnsi"/>
          <w:sz w:val="22"/>
          <w:szCs w:val="22"/>
        </w:rPr>
        <w:t xml:space="preserve">UWG has worked to improve </w:t>
      </w:r>
      <w:r w:rsidR="001C325C">
        <w:rPr>
          <w:rFonts w:asciiTheme="majorHAnsi" w:hAnsiTheme="majorHAnsi" w:cstheme="majorHAnsi"/>
          <w:sz w:val="22"/>
          <w:szCs w:val="22"/>
        </w:rPr>
        <w:t>the communication process</w:t>
      </w:r>
      <w:r w:rsidR="00754B24" w:rsidRPr="00062652">
        <w:rPr>
          <w:rFonts w:asciiTheme="majorHAnsi" w:hAnsiTheme="majorHAnsi" w:cstheme="majorHAnsi"/>
          <w:sz w:val="22"/>
          <w:szCs w:val="22"/>
        </w:rPr>
        <w:t xml:space="preserve"> and student response </w:t>
      </w:r>
      <w:r w:rsidR="001C325C">
        <w:rPr>
          <w:rFonts w:asciiTheme="majorHAnsi" w:hAnsiTheme="majorHAnsi" w:cstheme="majorHAnsi"/>
          <w:sz w:val="22"/>
          <w:szCs w:val="22"/>
        </w:rPr>
        <w:t xml:space="preserve">rate </w:t>
      </w:r>
      <w:r w:rsidR="00754B24" w:rsidRPr="00062652">
        <w:rPr>
          <w:rFonts w:asciiTheme="majorHAnsi" w:hAnsiTheme="majorHAnsi" w:cstheme="majorHAnsi"/>
          <w:sz w:val="22"/>
          <w:szCs w:val="22"/>
        </w:rPr>
        <w:t xml:space="preserve">to the USG </w:t>
      </w:r>
      <w:r w:rsidR="000E58F0" w:rsidRPr="00062652">
        <w:rPr>
          <w:rFonts w:asciiTheme="majorHAnsi" w:hAnsiTheme="majorHAnsi" w:cstheme="majorHAnsi"/>
          <w:sz w:val="22"/>
          <w:szCs w:val="22"/>
        </w:rPr>
        <w:t>A</w:t>
      </w:r>
      <w:r w:rsidR="00754B24" w:rsidRPr="00062652">
        <w:rPr>
          <w:rFonts w:asciiTheme="majorHAnsi" w:hAnsiTheme="majorHAnsi" w:cstheme="majorHAnsi"/>
          <w:sz w:val="22"/>
          <w:szCs w:val="22"/>
        </w:rPr>
        <w:t xml:space="preserve">cademic </w:t>
      </w:r>
      <w:r w:rsidR="000E58F0" w:rsidRPr="00062652">
        <w:rPr>
          <w:rFonts w:asciiTheme="majorHAnsi" w:hAnsiTheme="majorHAnsi" w:cstheme="majorHAnsi"/>
          <w:sz w:val="22"/>
          <w:szCs w:val="22"/>
        </w:rPr>
        <w:t>M</w:t>
      </w:r>
      <w:r w:rsidR="00754B24" w:rsidRPr="00062652">
        <w:rPr>
          <w:rFonts w:asciiTheme="majorHAnsi" w:hAnsiTheme="majorHAnsi" w:cstheme="majorHAnsi"/>
          <w:sz w:val="22"/>
          <w:szCs w:val="22"/>
        </w:rPr>
        <w:t xml:space="preserve">indset </w:t>
      </w:r>
      <w:r w:rsidR="000E58F0" w:rsidRPr="00062652">
        <w:rPr>
          <w:rFonts w:asciiTheme="majorHAnsi" w:hAnsiTheme="majorHAnsi" w:cstheme="majorHAnsi"/>
          <w:sz w:val="22"/>
          <w:szCs w:val="22"/>
        </w:rPr>
        <w:t>S</w:t>
      </w:r>
      <w:r w:rsidR="00754B24" w:rsidRPr="00062652">
        <w:rPr>
          <w:rFonts w:asciiTheme="majorHAnsi" w:hAnsiTheme="majorHAnsi" w:cstheme="majorHAnsi"/>
          <w:sz w:val="22"/>
          <w:szCs w:val="22"/>
        </w:rPr>
        <w:t xml:space="preserve">urvey. </w:t>
      </w:r>
      <w:r w:rsidR="001C325C">
        <w:rPr>
          <w:rFonts w:asciiTheme="majorHAnsi" w:hAnsiTheme="majorHAnsi" w:cstheme="majorHAnsi"/>
          <w:sz w:val="22"/>
          <w:szCs w:val="22"/>
        </w:rPr>
        <w:t xml:space="preserve">Communication to students took place during Pack Premiere, UWG’s three day campus orientation prior to the start of fall classes and was reiterated via electronic communication in the first three weeks of classes. </w:t>
      </w:r>
      <w:r w:rsidR="00754B24" w:rsidRPr="001C325C">
        <w:rPr>
          <w:rFonts w:asciiTheme="majorHAnsi" w:hAnsiTheme="majorHAnsi" w:cstheme="majorHAnsi"/>
          <w:sz w:val="22"/>
          <w:szCs w:val="22"/>
        </w:rPr>
        <w:t xml:space="preserve">First-Year Seminars and Learning Communities </w:t>
      </w:r>
      <w:r w:rsidR="001C325C">
        <w:rPr>
          <w:rFonts w:asciiTheme="majorHAnsi" w:hAnsiTheme="majorHAnsi" w:cstheme="majorHAnsi"/>
          <w:sz w:val="22"/>
          <w:szCs w:val="22"/>
        </w:rPr>
        <w:t xml:space="preserve">were also used </w:t>
      </w:r>
      <w:r w:rsidR="00754B24" w:rsidRPr="001C325C">
        <w:rPr>
          <w:rFonts w:asciiTheme="majorHAnsi" w:hAnsiTheme="majorHAnsi" w:cstheme="majorHAnsi"/>
          <w:sz w:val="22"/>
          <w:szCs w:val="22"/>
        </w:rPr>
        <w:t xml:space="preserve">to coordinate and reinforce student access and response to the mindset survey. </w:t>
      </w:r>
    </w:p>
    <w:p w:rsidR="001C325C" w:rsidRDefault="001C325C" w:rsidP="00193F97">
      <w:pPr>
        <w:jc w:val="both"/>
        <w:rPr>
          <w:rFonts w:asciiTheme="majorHAnsi" w:hAnsiTheme="majorHAnsi" w:cstheme="majorHAnsi"/>
          <w:sz w:val="22"/>
          <w:szCs w:val="22"/>
        </w:rPr>
      </w:pPr>
    </w:p>
    <w:p w:rsidR="00BA3A31" w:rsidRPr="00BA3A31" w:rsidRDefault="001C325C" w:rsidP="00BA3A31">
      <w:pPr>
        <w:jc w:val="both"/>
        <w:rPr>
          <w:rFonts w:asciiTheme="majorHAnsi" w:hAnsiTheme="majorHAnsi" w:cstheme="majorHAnsi"/>
          <w:sz w:val="22"/>
          <w:szCs w:val="22"/>
        </w:rPr>
      </w:pPr>
      <w:r w:rsidRPr="001C325C">
        <w:rPr>
          <w:rFonts w:asciiTheme="majorHAnsi" w:hAnsiTheme="majorHAnsi" w:cstheme="majorHAnsi"/>
          <w:b/>
          <w:sz w:val="22"/>
          <w:szCs w:val="22"/>
        </w:rPr>
        <w:t>Additional Mindset Initiatives</w:t>
      </w:r>
      <w:r>
        <w:rPr>
          <w:rFonts w:asciiTheme="majorHAnsi" w:hAnsiTheme="majorHAnsi" w:cstheme="majorHAnsi"/>
          <w:sz w:val="22"/>
          <w:szCs w:val="22"/>
        </w:rPr>
        <w:t xml:space="preserve">: </w:t>
      </w:r>
      <w:r w:rsidR="00BA3A31">
        <w:rPr>
          <w:rFonts w:asciiTheme="majorHAnsi" w:hAnsiTheme="majorHAnsi" w:cstheme="majorHAnsi"/>
          <w:sz w:val="22"/>
          <w:szCs w:val="22"/>
        </w:rPr>
        <w:t>Work continued across campus this past year to bring more attention to the importance of academic mindset among faculty and staff</w:t>
      </w:r>
      <w:r w:rsidR="00F15AD3" w:rsidRPr="00062652">
        <w:rPr>
          <w:rFonts w:asciiTheme="majorHAnsi" w:hAnsiTheme="majorHAnsi" w:cstheme="majorHAnsi"/>
          <w:sz w:val="22"/>
          <w:szCs w:val="22"/>
        </w:rPr>
        <w:t xml:space="preserve">. </w:t>
      </w:r>
      <w:r w:rsidR="00754B24" w:rsidRPr="00062652">
        <w:rPr>
          <w:rFonts w:asciiTheme="majorHAnsi" w:hAnsiTheme="majorHAnsi" w:cstheme="majorHAnsi"/>
          <w:sz w:val="22"/>
          <w:szCs w:val="22"/>
        </w:rPr>
        <w:t xml:space="preserve">New Faculty Orientation </w:t>
      </w:r>
      <w:r w:rsidR="00BA3A31">
        <w:rPr>
          <w:rFonts w:asciiTheme="majorHAnsi" w:hAnsiTheme="majorHAnsi" w:cstheme="majorHAnsi"/>
          <w:sz w:val="22"/>
          <w:szCs w:val="22"/>
        </w:rPr>
        <w:t>included</w:t>
      </w:r>
      <w:r w:rsidR="00754B24" w:rsidRPr="00062652">
        <w:rPr>
          <w:rFonts w:asciiTheme="majorHAnsi" w:hAnsiTheme="majorHAnsi" w:cstheme="majorHAnsi"/>
          <w:sz w:val="22"/>
          <w:szCs w:val="22"/>
        </w:rPr>
        <w:t xml:space="preserve"> a unit on academic mindset that introduce</w:t>
      </w:r>
      <w:r w:rsidR="00BA3A31">
        <w:rPr>
          <w:rFonts w:asciiTheme="majorHAnsi" w:hAnsiTheme="majorHAnsi" w:cstheme="majorHAnsi"/>
          <w:sz w:val="22"/>
          <w:szCs w:val="22"/>
        </w:rPr>
        <w:t>d</w:t>
      </w:r>
      <w:r w:rsidR="00754B24" w:rsidRPr="00062652">
        <w:rPr>
          <w:rFonts w:asciiTheme="majorHAnsi" w:hAnsiTheme="majorHAnsi" w:cstheme="majorHAnsi"/>
          <w:sz w:val="22"/>
          <w:szCs w:val="22"/>
        </w:rPr>
        <w:t xml:space="preserve"> the concept to new faculty and outline</w:t>
      </w:r>
      <w:r w:rsidR="00BA3A31">
        <w:rPr>
          <w:rFonts w:asciiTheme="majorHAnsi" w:hAnsiTheme="majorHAnsi" w:cstheme="majorHAnsi"/>
          <w:sz w:val="22"/>
          <w:szCs w:val="22"/>
        </w:rPr>
        <w:t>d</w:t>
      </w:r>
      <w:r w:rsidR="00754B24" w:rsidRPr="00062652">
        <w:rPr>
          <w:rFonts w:asciiTheme="majorHAnsi" w:hAnsiTheme="majorHAnsi" w:cstheme="majorHAnsi"/>
          <w:sz w:val="22"/>
          <w:szCs w:val="22"/>
        </w:rPr>
        <w:t xml:space="preserve"> faculty roles in creating a purposeful academic mindset for students. </w:t>
      </w:r>
      <w:r w:rsidR="00BA3A31">
        <w:rPr>
          <w:rFonts w:asciiTheme="majorHAnsi" w:hAnsiTheme="majorHAnsi" w:cstheme="majorHAnsi"/>
          <w:sz w:val="22"/>
          <w:szCs w:val="22"/>
        </w:rPr>
        <w:t>The Center for Teaching and Learning is also facilitating reading and discussion groups on academic mindset, including several that are part of the Chancellor’s Learning Scholars. Last year, UWG had six Chancellor’s Learning Scholars and over 50 faculty involved in FLCs associated with the Momentum Approach and growth mindset. A</w:t>
      </w:r>
      <w:r w:rsidR="00754B24" w:rsidRPr="00062652">
        <w:rPr>
          <w:rFonts w:asciiTheme="majorHAnsi" w:hAnsiTheme="majorHAnsi" w:cstheme="majorHAnsi"/>
          <w:sz w:val="22"/>
          <w:szCs w:val="22"/>
        </w:rPr>
        <w:t xml:space="preserve">cademic mindset </w:t>
      </w:r>
      <w:r w:rsidR="00BA3A31">
        <w:rPr>
          <w:rFonts w:asciiTheme="majorHAnsi" w:hAnsiTheme="majorHAnsi" w:cstheme="majorHAnsi"/>
          <w:sz w:val="22"/>
          <w:szCs w:val="22"/>
        </w:rPr>
        <w:t>also has been more</w:t>
      </w:r>
      <w:r w:rsidR="00754B24" w:rsidRPr="00062652">
        <w:rPr>
          <w:rFonts w:asciiTheme="majorHAnsi" w:hAnsiTheme="majorHAnsi" w:cstheme="majorHAnsi"/>
          <w:sz w:val="22"/>
          <w:szCs w:val="22"/>
        </w:rPr>
        <w:t xml:space="preserve"> purposefully integrated into the campus work on High Impact Practices (HIPs) and Guided Pathways. </w:t>
      </w:r>
    </w:p>
    <w:p w:rsidR="00BA3A31" w:rsidRDefault="00BA3A31" w:rsidP="00BA3A31">
      <w:pPr>
        <w:jc w:val="both"/>
        <w:rPr>
          <w:rFonts w:ascii="Times New Roman" w:eastAsia="Calibri" w:hAnsi="Times New Roman" w:cs="Times New Roman"/>
          <w:b/>
          <w:sz w:val="22"/>
          <w:szCs w:val="22"/>
        </w:rPr>
      </w:pPr>
    </w:p>
    <w:p w:rsidR="00BA3A31" w:rsidRPr="00E27649" w:rsidRDefault="00BA3A31" w:rsidP="00BA3A31">
      <w:pPr>
        <w:jc w:val="both"/>
        <w:rPr>
          <w:rFonts w:asciiTheme="majorHAnsi" w:eastAsia="Calibri" w:hAnsiTheme="majorHAnsi" w:cstheme="majorHAnsi"/>
          <w:b/>
          <w:sz w:val="22"/>
          <w:szCs w:val="22"/>
        </w:rPr>
      </w:pPr>
      <w:r w:rsidRPr="00E27649">
        <w:rPr>
          <w:rFonts w:asciiTheme="majorHAnsi" w:eastAsia="Calibri" w:hAnsiTheme="majorHAnsi" w:cstheme="majorHAnsi"/>
          <w:b/>
          <w:sz w:val="22"/>
          <w:szCs w:val="22"/>
        </w:rPr>
        <w:t>Organizational Restructuring to Support Student Success</w:t>
      </w:r>
    </w:p>
    <w:p w:rsidR="00E27649" w:rsidRPr="00E27649" w:rsidRDefault="00E27649" w:rsidP="00BA3A31">
      <w:pPr>
        <w:jc w:val="both"/>
        <w:rPr>
          <w:rFonts w:asciiTheme="majorHAnsi" w:eastAsia="Calibri" w:hAnsiTheme="majorHAnsi" w:cstheme="majorHAnsi"/>
          <w:b/>
          <w:sz w:val="22"/>
          <w:szCs w:val="22"/>
        </w:rPr>
      </w:pPr>
    </w:p>
    <w:p w:rsidR="00E27649" w:rsidRPr="00E27649" w:rsidRDefault="00C616AA" w:rsidP="00E27649">
      <w:pPr>
        <w:jc w:val="both"/>
        <w:rPr>
          <w:rFonts w:asciiTheme="majorHAnsi" w:eastAsia="Calibri" w:hAnsiTheme="majorHAnsi" w:cstheme="majorHAnsi"/>
          <w:b/>
          <w:sz w:val="22"/>
          <w:szCs w:val="22"/>
        </w:rPr>
      </w:pPr>
      <w:r w:rsidRPr="00E27649">
        <w:rPr>
          <w:rFonts w:asciiTheme="majorHAnsi" w:eastAsia="Calibri" w:hAnsiTheme="majorHAnsi" w:cstheme="majorHAnsi"/>
          <w:b/>
          <w:sz w:val="22"/>
          <w:szCs w:val="22"/>
        </w:rPr>
        <w:t>University College</w:t>
      </w:r>
      <w:r w:rsidR="00E27649" w:rsidRPr="00E27649">
        <w:rPr>
          <w:rFonts w:asciiTheme="majorHAnsi" w:eastAsia="Calibri" w:hAnsiTheme="majorHAnsi" w:cstheme="majorHAnsi"/>
          <w:sz w:val="22"/>
          <w:szCs w:val="22"/>
        </w:rPr>
        <w:t>: Started in January 2019, t</w:t>
      </w:r>
      <w:r w:rsidRPr="00E27649">
        <w:rPr>
          <w:rFonts w:asciiTheme="majorHAnsi" w:eastAsia="Calibri" w:hAnsiTheme="majorHAnsi" w:cstheme="majorHAnsi"/>
          <w:sz w:val="22"/>
          <w:szCs w:val="22"/>
        </w:rPr>
        <w:t>his new college brings together a variety of student success units that were formerly in different divisions across campus, includ</w:t>
      </w:r>
      <w:r w:rsidR="00BA3A31" w:rsidRPr="00E27649">
        <w:rPr>
          <w:rFonts w:asciiTheme="majorHAnsi" w:eastAsia="Calibri" w:hAnsiTheme="majorHAnsi" w:cstheme="majorHAnsi"/>
          <w:sz w:val="22"/>
          <w:szCs w:val="22"/>
        </w:rPr>
        <w:t>ing First-</w:t>
      </w:r>
      <w:r w:rsidRPr="00E27649">
        <w:rPr>
          <w:rFonts w:asciiTheme="majorHAnsi" w:eastAsia="Calibri" w:hAnsiTheme="majorHAnsi" w:cstheme="majorHAnsi"/>
          <w:sz w:val="22"/>
          <w:szCs w:val="22"/>
        </w:rPr>
        <w:t xml:space="preserve">Year Academic Programs, </w:t>
      </w:r>
      <w:r w:rsidR="00BA3A31" w:rsidRPr="00E27649">
        <w:rPr>
          <w:rFonts w:asciiTheme="majorHAnsi" w:eastAsia="Calibri" w:hAnsiTheme="majorHAnsi" w:cstheme="majorHAnsi"/>
          <w:sz w:val="22"/>
          <w:szCs w:val="22"/>
        </w:rPr>
        <w:t xml:space="preserve">the </w:t>
      </w:r>
      <w:r w:rsidRPr="00E27649">
        <w:rPr>
          <w:rFonts w:asciiTheme="majorHAnsi" w:eastAsia="Calibri" w:hAnsiTheme="majorHAnsi" w:cstheme="majorHAnsi"/>
          <w:sz w:val="22"/>
          <w:szCs w:val="22"/>
        </w:rPr>
        <w:t xml:space="preserve">Academic Advising Center, and the Center for Academic Success. These will be housed in a central location in the heart of campus to better coordinate work on student success and provide students with more convenient access to these services, especially in the first year. The goal is to strengthen the alignment and collaboration of our support units around student success. </w:t>
      </w:r>
    </w:p>
    <w:p w:rsidR="00E27649" w:rsidRPr="00E27649" w:rsidRDefault="00E27649" w:rsidP="00E27649">
      <w:pPr>
        <w:jc w:val="both"/>
        <w:rPr>
          <w:rFonts w:asciiTheme="majorHAnsi" w:eastAsia="Calibri" w:hAnsiTheme="majorHAnsi" w:cstheme="majorHAnsi"/>
          <w:b/>
          <w:sz w:val="22"/>
          <w:szCs w:val="22"/>
        </w:rPr>
      </w:pPr>
    </w:p>
    <w:p w:rsidR="00E27649" w:rsidRPr="00E27649" w:rsidRDefault="00E27649" w:rsidP="00E27649">
      <w:pPr>
        <w:jc w:val="both"/>
        <w:rPr>
          <w:rFonts w:asciiTheme="majorHAnsi" w:eastAsia="Calibri" w:hAnsiTheme="majorHAnsi" w:cstheme="majorHAnsi"/>
          <w:sz w:val="22"/>
          <w:szCs w:val="22"/>
        </w:rPr>
      </w:pPr>
      <w:r w:rsidRPr="00E27649">
        <w:rPr>
          <w:rFonts w:asciiTheme="majorHAnsi" w:eastAsia="Calibri" w:hAnsiTheme="majorHAnsi" w:cstheme="majorHAnsi"/>
          <w:b/>
          <w:sz w:val="22"/>
          <w:szCs w:val="22"/>
        </w:rPr>
        <w:t>Center for Teaching and Learning</w:t>
      </w:r>
      <w:r w:rsidRPr="00E27649">
        <w:rPr>
          <w:rFonts w:asciiTheme="majorHAnsi" w:eastAsia="Calibri" w:hAnsiTheme="majorHAnsi" w:cstheme="majorHAnsi"/>
          <w:sz w:val="22"/>
          <w:szCs w:val="22"/>
        </w:rPr>
        <w:t xml:space="preserve">: In January 2018, the Center for Teaching and Learning was merged with UWG online, bringing together into one administrative unit the institutional work on course development and design in both face-to-face and online environments. This reorganization has increased the number of instructional designers who can assist faculty with course design and allowed better coordination and alignment of teaching in face-to-face, online, and hybrid settings. This reorganization is especially crucial given the work that the CTL is now doing around course redesign in core courses, with faculty development in first-year seminar, with New Faculty Orientation, and with FLCs that focus on academic mindset, diversity and inclusion in the classroom, and transparency in teaching and learning. </w:t>
      </w:r>
    </w:p>
    <w:p w:rsidR="00E553D7" w:rsidRDefault="00E553D7" w:rsidP="00BA3A31">
      <w:pPr>
        <w:jc w:val="both"/>
        <w:rPr>
          <w:rFonts w:asciiTheme="majorHAnsi" w:eastAsia="Calibri" w:hAnsiTheme="majorHAnsi" w:cstheme="majorHAnsi"/>
          <w:b/>
          <w:sz w:val="22"/>
          <w:szCs w:val="22"/>
        </w:rPr>
      </w:pPr>
    </w:p>
    <w:p w:rsidR="00BA3A31" w:rsidRPr="00E27649" w:rsidRDefault="00BA3A31" w:rsidP="00BA3A31">
      <w:pPr>
        <w:jc w:val="both"/>
        <w:rPr>
          <w:rFonts w:asciiTheme="majorHAnsi" w:eastAsia="Calibri" w:hAnsiTheme="majorHAnsi" w:cstheme="majorHAnsi"/>
          <w:b/>
          <w:sz w:val="22"/>
          <w:szCs w:val="22"/>
        </w:rPr>
      </w:pPr>
      <w:r w:rsidRPr="00E27649">
        <w:rPr>
          <w:rFonts w:asciiTheme="majorHAnsi" w:eastAsia="Calibri" w:hAnsiTheme="majorHAnsi" w:cstheme="majorHAnsi"/>
          <w:b/>
          <w:sz w:val="22"/>
          <w:szCs w:val="22"/>
        </w:rPr>
        <w:t>Other Initiatives Aligned with the Momentum Approach</w:t>
      </w:r>
    </w:p>
    <w:p w:rsidR="00E553D7" w:rsidRDefault="00E553D7" w:rsidP="00E553D7">
      <w:pPr>
        <w:jc w:val="both"/>
        <w:rPr>
          <w:rFonts w:asciiTheme="majorHAnsi" w:eastAsia="Calibri" w:hAnsiTheme="majorHAnsi" w:cstheme="majorHAnsi"/>
          <w:b/>
          <w:sz w:val="22"/>
          <w:szCs w:val="22"/>
        </w:rPr>
      </w:pPr>
    </w:p>
    <w:p w:rsidR="00C616AA" w:rsidRDefault="00BA3A31" w:rsidP="00E553D7">
      <w:pPr>
        <w:jc w:val="both"/>
        <w:rPr>
          <w:rFonts w:asciiTheme="majorHAnsi" w:eastAsia="Calibri" w:hAnsiTheme="majorHAnsi" w:cstheme="majorHAnsi"/>
          <w:b/>
          <w:sz w:val="22"/>
          <w:szCs w:val="22"/>
        </w:rPr>
      </w:pPr>
      <w:r w:rsidRPr="00E27649">
        <w:rPr>
          <w:rFonts w:asciiTheme="majorHAnsi" w:eastAsia="Calibri" w:hAnsiTheme="majorHAnsi" w:cstheme="majorHAnsi"/>
          <w:b/>
          <w:sz w:val="22"/>
          <w:szCs w:val="22"/>
        </w:rPr>
        <w:t>Gateways to Completion (G2C)</w:t>
      </w:r>
      <w:r w:rsidRPr="00E27649">
        <w:rPr>
          <w:rFonts w:asciiTheme="majorHAnsi" w:eastAsia="Calibri" w:hAnsiTheme="majorHAnsi" w:cstheme="majorHAnsi"/>
          <w:sz w:val="22"/>
          <w:szCs w:val="22"/>
        </w:rPr>
        <w:t xml:space="preserve">: </w:t>
      </w:r>
      <w:r w:rsidR="00C616AA" w:rsidRPr="00E27649">
        <w:rPr>
          <w:rFonts w:asciiTheme="majorHAnsi" w:eastAsia="Calibri" w:hAnsiTheme="majorHAnsi" w:cstheme="majorHAnsi"/>
          <w:sz w:val="22"/>
          <w:szCs w:val="22"/>
        </w:rPr>
        <w:t>UWG has actively participated in G2C (Gateways to Completion) since 2016. Five gateway core courses have been involved</w:t>
      </w:r>
      <w:r w:rsidR="00E27649" w:rsidRPr="00E27649">
        <w:rPr>
          <w:rFonts w:asciiTheme="majorHAnsi" w:eastAsia="Calibri" w:hAnsiTheme="majorHAnsi" w:cstheme="majorHAnsi"/>
          <w:sz w:val="22"/>
          <w:szCs w:val="22"/>
        </w:rPr>
        <w:t xml:space="preserve"> in course redesign</w:t>
      </w:r>
      <w:r w:rsidR="00C616AA" w:rsidRPr="00E27649">
        <w:rPr>
          <w:rFonts w:asciiTheme="majorHAnsi" w:eastAsia="Calibri" w:hAnsiTheme="majorHAnsi" w:cstheme="majorHAnsi"/>
          <w:sz w:val="22"/>
          <w:szCs w:val="22"/>
        </w:rPr>
        <w:t xml:space="preserve">: ENGL 1101, HIST 2111, ACCT 2101, BIOL 1107, and MATH 1113. Student success rates have improved consistently in three of these </w:t>
      </w:r>
      <w:r w:rsidR="00C616AA" w:rsidRPr="00E27649">
        <w:rPr>
          <w:rFonts w:asciiTheme="majorHAnsi" w:eastAsia="Calibri" w:hAnsiTheme="majorHAnsi" w:cstheme="majorHAnsi"/>
          <w:sz w:val="22"/>
          <w:szCs w:val="22"/>
        </w:rPr>
        <w:lastRenderedPageBreak/>
        <w:t>courses, and there has been some (but not</w:t>
      </w:r>
      <w:r w:rsidR="00E27649" w:rsidRPr="00E27649">
        <w:rPr>
          <w:rFonts w:asciiTheme="majorHAnsi" w:eastAsia="Calibri" w:hAnsiTheme="majorHAnsi" w:cstheme="majorHAnsi"/>
          <w:sz w:val="22"/>
          <w:szCs w:val="22"/>
        </w:rPr>
        <w:t xml:space="preserve"> always</w:t>
      </w:r>
      <w:r w:rsidR="00C616AA" w:rsidRPr="00E27649">
        <w:rPr>
          <w:rFonts w:asciiTheme="majorHAnsi" w:eastAsia="Calibri" w:hAnsiTheme="majorHAnsi" w:cstheme="majorHAnsi"/>
          <w:sz w:val="22"/>
          <w:szCs w:val="22"/>
        </w:rPr>
        <w:t xml:space="preserve"> consistent) improvement in the other two.  Redesign enhancements have varied among these courses based on KPI analysis and have included such things a</w:t>
      </w:r>
      <w:r w:rsidR="00E27649" w:rsidRPr="00E27649">
        <w:rPr>
          <w:rFonts w:asciiTheme="majorHAnsi" w:eastAsia="Calibri" w:hAnsiTheme="majorHAnsi" w:cstheme="majorHAnsi"/>
          <w:sz w:val="22"/>
          <w:szCs w:val="22"/>
        </w:rPr>
        <w:t>s TILTed assignments, utilizing low- or no cost textbooks and free open educational resources</w:t>
      </w:r>
      <w:r w:rsidR="00C616AA" w:rsidRPr="00E27649">
        <w:rPr>
          <w:rFonts w:asciiTheme="majorHAnsi" w:eastAsia="Calibri" w:hAnsiTheme="majorHAnsi" w:cstheme="majorHAnsi"/>
          <w:sz w:val="22"/>
          <w:szCs w:val="22"/>
        </w:rPr>
        <w:t xml:space="preserve"> (</w:t>
      </w:r>
      <w:r w:rsidR="00E27649" w:rsidRPr="00E27649">
        <w:rPr>
          <w:rFonts w:asciiTheme="majorHAnsi" w:eastAsia="Calibri" w:hAnsiTheme="majorHAnsi" w:cstheme="majorHAnsi"/>
          <w:sz w:val="22"/>
          <w:szCs w:val="22"/>
        </w:rPr>
        <w:t>for example, all core math courses now use free OERs</w:t>
      </w:r>
      <w:r w:rsidR="00C616AA" w:rsidRPr="00E27649">
        <w:rPr>
          <w:rFonts w:asciiTheme="majorHAnsi" w:eastAsia="Calibri" w:hAnsiTheme="majorHAnsi" w:cstheme="majorHAnsi"/>
          <w:sz w:val="22"/>
          <w:szCs w:val="22"/>
        </w:rPr>
        <w:t xml:space="preserve">), developing common learning outcomes and assignments, early alert notifications, exam wrappers, and supplemental instruction. </w:t>
      </w:r>
    </w:p>
    <w:p w:rsidR="00E553D7" w:rsidRPr="00E553D7" w:rsidRDefault="00E553D7" w:rsidP="00E553D7">
      <w:pPr>
        <w:jc w:val="both"/>
        <w:rPr>
          <w:rFonts w:asciiTheme="majorHAnsi" w:eastAsia="Calibri" w:hAnsiTheme="majorHAnsi" w:cstheme="majorHAnsi"/>
          <w:b/>
          <w:sz w:val="22"/>
          <w:szCs w:val="22"/>
        </w:rPr>
      </w:pPr>
    </w:p>
    <w:p w:rsidR="00C616AA" w:rsidRDefault="00E27649" w:rsidP="00E553D7">
      <w:pPr>
        <w:jc w:val="both"/>
        <w:rPr>
          <w:rFonts w:asciiTheme="majorHAnsi" w:eastAsia="Calibri" w:hAnsiTheme="majorHAnsi" w:cstheme="majorHAnsi"/>
          <w:sz w:val="22"/>
          <w:szCs w:val="22"/>
        </w:rPr>
      </w:pPr>
      <w:r w:rsidRPr="00E27649">
        <w:rPr>
          <w:rFonts w:asciiTheme="majorHAnsi" w:eastAsia="Calibri" w:hAnsiTheme="majorHAnsi" w:cstheme="majorHAnsi"/>
          <w:b/>
          <w:sz w:val="22"/>
          <w:szCs w:val="22"/>
        </w:rPr>
        <w:t>TS3 (Taking Student Success to Scale):</w:t>
      </w:r>
      <w:r>
        <w:rPr>
          <w:rFonts w:asciiTheme="majorHAnsi" w:eastAsia="Calibri" w:hAnsiTheme="majorHAnsi" w:cstheme="majorHAnsi"/>
          <w:sz w:val="22"/>
          <w:szCs w:val="22"/>
        </w:rPr>
        <w:t xml:space="preserve"> </w:t>
      </w:r>
      <w:r w:rsidR="00C616AA" w:rsidRPr="00E27649">
        <w:rPr>
          <w:rFonts w:asciiTheme="majorHAnsi" w:eastAsia="Calibri" w:hAnsiTheme="majorHAnsi" w:cstheme="majorHAnsi"/>
          <w:sz w:val="22"/>
          <w:szCs w:val="22"/>
        </w:rPr>
        <w:t>UWG has been involved in the NASH TS3 (Taking Student Success to Scale) Equity grant in partnership with the USG and five other institutions within the s</w:t>
      </w:r>
      <w:r>
        <w:rPr>
          <w:rFonts w:asciiTheme="majorHAnsi" w:eastAsia="Calibri" w:hAnsiTheme="majorHAnsi" w:cstheme="majorHAnsi"/>
          <w:sz w:val="22"/>
          <w:szCs w:val="22"/>
        </w:rPr>
        <w:t>tate of Georgia</w:t>
      </w:r>
      <w:r w:rsidR="00C616AA" w:rsidRPr="00E27649">
        <w:rPr>
          <w:rFonts w:asciiTheme="majorHAnsi" w:eastAsia="Calibri" w:hAnsiTheme="majorHAnsi" w:cstheme="majorHAnsi"/>
          <w:sz w:val="22"/>
          <w:szCs w:val="22"/>
        </w:rPr>
        <w:t xml:space="preserve">. Work on the grant has allowed the institution </w:t>
      </w:r>
      <w:r w:rsidR="00E553D7">
        <w:rPr>
          <w:rFonts w:asciiTheme="majorHAnsi" w:eastAsia="Calibri" w:hAnsiTheme="majorHAnsi" w:cstheme="majorHAnsi"/>
          <w:sz w:val="22"/>
          <w:szCs w:val="22"/>
        </w:rPr>
        <w:t xml:space="preserve">to learn more about the relationship between equity-minded practices and student success. While the initial focus of the grant was on UWG’s new </w:t>
      </w:r>
      <w:r w:rsidR="00C616AA" w:rsidRPr="00E27649">
        <w:rPr>
          <w:rFonts w:asciiTheme="majorHAnsi" w:eastAsia="Calibri" w:hAnsiTheme="majorHAnsi" w:cstheme="majorHAnsi"/>
          <w:sz w:val="22"/>
          <w:szCs w:val="22"/>
        </w:rPr>
        <w:t xml:space="preserve">First-Year Seminar, </w:t>
      </w:r>
      <w:r w:rsidR="00E553D7">
        <w:rPr>
          <w:rFonts w:asciiTheme="majorHAnsi" w:eastAsia="Calibri" w:hAnsiTheme="majorHAnsi" w:cstheme="majorHAnsi"/>
          <w:sz w:val="22"/>
          <w:szCs w:val="22"/>
        </w:rPr>
        <w:t xml:space="preserve">work is now expanding to other High Impact Practices (HIPs), including </w:t>
      </w:r>
      <w:r w:rsidR="00C616AA" w:rsidRPr="00E27649">
        <w:rPr>
          <w:rFonts w:asciiTheme="majorHAnsi" w:eastAsia="Calibri" w:hAnsiTheme="majorHAnsi" w:cstheme="majorHAnsi"/>
          <w:sz w:val="22"/>
          <w:szCs w:val="22"/>
        </w:rPr>
        <w:t>capstone seminars</w:t>
      </w:r>
      <w:r w:rsidR="00D77C5A">
        <w:rPr>
          <w:rFonts w:asciiTheme="majorHAnsi" w:eastAsia="Calibri" w:hAnsiTheme="majorHAnsi" w:cstheme="majorHAnsi"/>
          <w:sz w:val="22"/>
          <w:szCs w:val="22"/>
        </w:rPr>
        <w:t xml:space="preserve"> </w:t>
      </w:r>
      <w:r w:rsidR="00C616AA" w:rsidRPr="00E27649">
        <w:rPr>
          <w:rFonts w:asciiTheme="majorHAnsi" w:eastAsia="Calibri" w:hAnsiTheme="majorHAnsi" w:cstheme="majorHAnsi"/>
          <w:sz w:val="22"/>
          <w:szCs w:val="22"/>
        </w:rPr>
        <w:t>and global learning.</w:t>
      </w:r>
    </w:p>
    <w:p w:rsidR="00E553D7" w:rsidRDefault="00E553D7" w:rsidP="00E553D7">
      <w:pPr>
        <w:jc w:val="both"/>
        <w:rPr>
          <w:rFonts w:asciiTheme="majorHAnsi" w:eastAsia="Calibri" w:hAnsiTheme="majorHAnsi" w:cstheme="majorHAnsi"/>
          <w:sz w:val="22"/>
          <w:szCs w:val="22"/>
        </w:rPr>
      </w:pPr>
    </w:p>
    <w:p w:rsidR="00B02F9C" w:rsidRDefault="00E553D7" w:rsidP="00904093">
      <w:pPr>
        <w:jc w:val="both"/>
        <w:rPr>
          <w:rFonts w:asciiTheme="majorHAnsi" w:eastAsia="Calibri" w:hAnsiTheme="majorHAnsi" w:cstheme="majorHAnsi"/>
          <w:sz w:val="22"/>
          <w:szCs w:val="22"/>
        </w:rPr>
      </w:pPr>
      <w:r w:rsidRPr="00E553D7">
        <w:rPr>
          <w:rFonts w:asciiTheme="majorHAnsi" w:eastAsia="Calibri" w:hAnsiTheme="majorHAnsi" w:cstheme="majorHAnsi"/>
          <w:b/>
          <w:i/>
          <w:sz w:val="22"/>
          <w:szCs w:val="22"/>
        </w:rPr>
        <w:t>LEAP West!</w:t>
      </w:r>
      <w:r>
        <w:rPr>
          <w:rFonts w:asciiTheme="majorHAnsi" w:eastAsia="Calibri" w:hAnsiTheme="majorHAnsi" w:cstheme="majorHAnsi"/>
          <w:sz w:val="22"/>
          <w:szCs w:val="22"/>
        </w:rPr>
        <w:t xml:space="preserve">: Since 2016, UWG’s </w:t>
      </w:r>
      <w:r w:rsidRPr="00E553D7">
        <w:rPr>
          <w:rFonts w:asciiTheme="majorHAnsi" w:eastAsia="Calibri" w:hAnsiTheme="majorHAnsi" w:cstheme="majorHAnsi"/>
          <w:i/>
          <w:sz w:val="22"/>
          <w:szCs w:val="22"/>
        </w:rPr>
        <w:t>LEAP West!</w:t>
      </w:r>
      <w:r w:rsidR="001056E2">
        <w:rPr>
          <w:rFonts w:asciiTheme="majorHAnsi" w:eastAsia="Calibri" w:hAnsiTheme="majorHAnsi" w:cstheme="majorHAnsi"/>
          <w:sz w:val="22"/>
          <w:szCs w:val="22"/>
        </w:rPr>
        <w:t xml:space="preserve"> </w:t>
      </w:r>
      <w:r>
        <w:rPr>
          <w:rFonts w:asciiTheme="majorHAnsi" w:eastAsia="Calibri" w:hAnsiTheme="majorHAnsi" w:cstheme="majorHAnsi"/>
          <w:sz w:val="22"/>
          <w:szCs w:val="22"/>
        </w:rPr>
        <w:t xml:space="preserve">Initiative has focused on expanding opportunities for students to engage in high quality, high impact practices as part of their degree completion at UWG. </w:t>
      </w:r>
      <w:r w:rsidR="001056E2">
        <w:rPr>
          <w:rFonts w:asciiTheme="majorHAnsi" w:eastAsia="Calibri" w:hAnsiTheme="majorHAnsi" w:cstheme="majorHAnsi"/>
          <w:sz w:val="22"/>
          <w:szCs w:val="22"/>
        </w:rPr>
        <w:t xml:space="preserve">Work on </w:t>
      </w:r>
      <w:r w:rsidR="001056E2" w:rsidRPr="001056E2">
        <w:rPr>
          <w:rFonts w:asciiTheme="majorHAnsi" w:eastAsia="Calibri" w:hAnsiTheme="majorHAnsi" w:cstheme="majorHAnsi"/>
          <w:i/>
          <w:sz w:val="22"/>
          <w:szCs w:val="22"/>
        </w:rPr>
        <w:t>LEAP West!</w:t>
      </w:r>
      <w:r w:rsidR="001056E2">
        <w:rPr>
          <w:rFonts w:asciiTheme="majorHAnsi" w:eastAsia="Calibri" w:hAnsiTheme="majorHAnsi" w:cstheme="majorHAnsi"/>
          <w:sz w:val="22"/>
          <w:szCs w:val="22"/>
        </w:rPr>
        <w:t xml:space="preserve"> is modeled after the AAC&amp;U’s (American Association of Colleges and Universities) national LEAP project. UWG also partners with other institutions across the state as part of the LEAP State Georgia consortium. Many of the initiatives described above were initially developed as part of UWG’s </w:t>
      </w:r>
      <w:r w:rsidR="001056E2" w:rsidRPr="001056E2">
        <w:rPr>
          <w:rFonts w:asciiTheme="majorHAnsi" w:eastAsia="Calibri" w:hAnsiTheme="majorHAnsi" w:cstheme="majorHAnsi"/>
          <w:i/>
          <w:sz w:val="22"/>
          <w:szCs w:val="22"/>
        </w:rPr>
        <w:t>LEAP West!</w:t>
      </w:r>
      <w:r w:rsidR="001056E2">
        <w:rPr>
          <w:rFonts w:asciiTheme="majorHAnsi" w:eastAsia="Calibri" w:hAnsiTheme="majorHAnsi" w:cstheme="majorHAnsi"/>
          <w:sz w:val="22"/>
          <w:szCs w:val="22"/>
        </w:rPr>
        <w:t xml:space="preserve"> campus plan, including first-year seminar. </w:t>
      </w:r>
      <w:r w:rsidR="00F1579D">
        <w:rPr>
          <w:rFonts w:asciiTheme="majorHAnsi" w:eastAsia="Calibri" w:hAnsiTheme="majorHAnsi" w:cstheme="majorHAnsi"/>
          <w:sz w:val="22"/>
          <w:szCs w:val="22"/>
        </w:rPr>
        <w:t xml:space="preserve">LEAP West! aligns </w:t>
      </w:r>
      <w:r w:rsidR="001056E2">
        <w:rPr>
          <w:rFonts w:asciiTheme="majorHAnsi" w:eastAsia="Calibri" w:hAnsiTheme="majorHAnsi" w:cstheme="majorHAnsi"/>
          <w:sz w:val="22"/>
          <w:szCs w:val="22"/>
        </w:rPr>
        <w:t xml:space="preserve">with the USG Momentum Approach since it focuses on creating academic pathways </w:t>
      </w:r>
      <w:r w:rsidR="00F1579D">
        <w:rPr>
          <w:rFonts w:asciiTheme="majorHAnsi" w:eastAsia="Calibri" w:hAnsiTheme="majorHAnsi" w:cstheme="majorHAnsi"/>
          <w:sz w:val="22"/>
          <w:szCs w:val="22"/>
        </w:rPr>
        <w:t>linked to high impact practices—</w:t>
      </w:r>
      <w:r w:rsidR="001056E2">
        <w:rPr>
          <w:rFonts w:asciiTheme="majorHAnsi" w:eastAsia="Calibri" w:hAnsiTheme="majorHAnsi" w:cstheme="majorHAnsi"/>
          <w:sz w:val="22"/>
          <w:szCs w:val="22"/>
        </w:rPr>
        <w:t>beginning in the first  year and continuing through degree completion</w:t>
      </w:r>
      <w:r w:rsidR="00F1579D">
        <w:rPr>
          <w:rFonts w:asciiTheme="majorHAnsi" w:eastAsia="Calibri" w:hAnsiTheme="majorHAnsi" w:cstheme="majorHAnsi"/>
          <w:sz w:val="22"/>
          <w:szCs w:val="22"/>
        </w:rPr>
        <w:t>—that will</w:t>
      </w:r>
      <w:r w:rsidR="001056E2">
        <w:rPr>
          <w:rFonts w:asciiTheme="majorHAnsi" w:eastAsia="Calibri" w:hAnsiTheme="majorHAnsi" w:cstheme="majorHAnsi"/>
          <w:sz w:val="22"/>
          <w:szCs w:val="22"/>
        </w:rPr>
        <w:t xml:space="preserve"> </w:t>
      </w:r>
      <w:r w:rsidR="00F1579D">
        <w:rPr>
          <w:rFonts w:asciiTheme="majorHAnsi" w:eastAsia="Calibri" w:hAnsiTheme="majorHAnsi" w:cstheme="majorHAnsi"/>
          <w:sz w:val="22"/>
          <w:szCs w:val="22"/>
        </w:rPr>
        <w:t>d</w:t>
      </w:r>
      <w:r w:rsidR="00F1579D" w:rsidRPr="00F1579D">
        <w:rPr>
          <w:rFonts w:asciiTheme="majorHAnsi" w:eastAsia="Calibri" w:hAnsiTheme="majorHAnsi" w:cstheme="majorHAnsi"/>
          <w:sz w:val="22"/>
          <w:szCs w:val="22"/>
        </w:rPr>
        <w:t>eepen purpo</w:t>
      </w:r>
      <w:r w:rsidR="00F1579D">
        <w:rPr>
          <w:rFonts w:asciiTheme="majorHAnsi" w:eastAsia="Calibri" w:hAnsiTheme="majorHAnsi" w:cstheme="majorHAnsi"/>
          <w:sz w:val="22"/>
          <w:szCs w:val="22"/>
        </w:rPr>
        <w:t>seful choice, c</w:t>
      </w:r>
      <w:r w:rsidR="00F1579D" w:rsidRPr="00F1579D">
        <w:rPr>
          <w:rFonts w:asciiTheme="majorHAnsi" w:eastAsia="Calibri" w:hAnsiTheme="majorHAnsi" w:cstheme="majorHAnsi"/>
          <w:sz w:val="22"/>
          <w:szCs w:val="22"/>
        </w:rPr>
        <w:t>ultivate</w:t>
      </w:r>
      <w:r w:rsidR="00F1579D">
        <w:rPr>
          <w:rFonts w:asciiTheme="majorHAnsi" w:eastAsia="Calibri" w:hAnsiTheme="majorHAnsi" w:cstheme="majorHAnsi"/>
          <w:sz w:val="22"/>
          <w:szCs w:val="22"/>
        </w:rPr>
        <w:t xml:space="preserve"> a</w:t>
      </w:r>
      <w:r w:rsidR="00F1579D" w:rsidRPr="00F1579D">
        <w:rPr>
          <w:rFonts w:asciiTheme="majorHAnsi" w:eastAsia="Calibri" w:hAnsiTheme="majorHAnsi" w:cstheme="majorHAnsi"/>
          <w:sz w:val="22"/>
          <w:szCs w:val="22"/>
        </w:rPr>
        <w:t xml:space="preserve"> productive </w:t>
      </w:r>
      <w:r w:rsidR="00F1579D">
        <w:rPr>
          <w:rFonts w:asciiTheme="majorHAnsi" w:eastAsia="Calibri" w:hAnsiTheme="majorHAnsi" w:cstheme="majorHAnsi"/>
          <w:sz w:val="22"/>
          <w:szCs w:val="22"/>
        </w:rPr>
        <w:t>a</w:t>
      </w:r>
      <w:r w:rsidR="00F1579D" w:rsidRPr="00F1579D">
        <w:rPr>
          <w:rFonts w:asciiTheme="majorHAnsi" w:eastAsia="Calibri" w:hAnsiTheme="majorHAnsi" w:cstheme="majorHAnsi"/>
          <w:sz w:val="22"/>
          <w:szCs w:val="22"/>
        </w:rPr>
        <w:t xml:space="preserve">cademic </w:t>
      </w:r>
      <w:r w:rsidR="00F1579D">
        <w:rPr>
          <w:rFonts w:asciiTheme="majorHAnsi" w:eastAsia="Calibri" w:hAnsiTheme="majorHAnsi" w:cstheme="majorHAnsi"/>
          <w:sz w:val="22"/>
          <w:szCs w:val="22"/>
        </w:rPr>
        <w:t>mindset, h</w:t>
      </w:r>
      <w:r w:rsidR="00F1579D" w:rsidRPr="00F1579D">
        <w:rPr>
          <w:rFonts w:asciiTheme="majorHAnsi" w:eastAsia="Calibri" w:hAnsiTheme="majorHAnsi" w:cstheme="majorHAnsi"/>
          <w:sz w:val="22"/>
          <w:szCs w:val="22"/>
        </w:rPr>
        <w:t>eighten academic engagement</w:t>
      </w:r>
      <w:r w:rsidR="00F1579D">
        <w:rPr>
          <w:rFonts w:asciiTheme="majorHAnsi" w:eastAsia="Calibri" w:hAnsiTheme="majorHAnsi" w:cstheme="majorHAnsi"/>
          <w:sz w:val="22"/>
          <w:szCs w:val="22"/>
        </w:rPr>
        <w:t xml:space="preserve">, and connect to the  completion of </w:t>
      </w:r>
      <w:r w:rsidR="00F1579D" w:rsidRPr="00F1579D">
        <w:rPr>
          <w:rFonts w:asciiTheme="majorHAnsi" w:eastAsia="Calibri" w:hAnsiTheme="majorHAnsi" w:cstheme="majorHAnsi"/>
          <w:sz w:val="22"/>
          <w:szCs w:val="22"/>
        </w:rPr>
        <w:t>critical milestones</w:t>
      </w:r>
      <w:r w:rsidR="00F1579D">
        <w:rPr>
          <w:rFonts w:asciiTheme="majorHAnsi" w:eastAsia="Calibri" w:hAnsiTheme="majorHAnsi" w:cstheme="majorHAnsi"/>
          <w:sz w:val="22"/>
          <w:szCs w:val="22"/>
        </w:rPr>
        <w:t xml:space="preserve">. Faculty and staff from across campus have been actively engaged in </w:t>
      </w:r>
      <w:r w:rsidR="00904093">
        <w:rPr>
          <w:rFonts w:asciiTheme="majorHAnsi" w:eastAsia="Calibri" w:hAnsiTheme="majorHAnsi" w:cstheme="majorHAnsi"/>
          <w:sz w:val="22"/>
          <w:szCs w:val="22"/>
        </w:rPr>
        <w:t xml:space="preserve">this collaborative work. Last year, UWG organized several campus-wide events to increase opportunities for learning about and developing HIPs in curricular and co-curricular settings. In addition to continuing work on first-year experience (first-year seminars and learning communities), collaborative efforts this year are focusing on culminating signature experiences (capstones and internships), service learning, and global learning. UWG is also actively involved in the USG’s development of HIPs taxonomies and HIPs attributes in Banner. </w:t>
      </w:r>
      <w:r w:rsidR="00B10662">
        <w:rPr>
          <w:rFonts w:asciiTheme="majorHAnsi" w:eastAsia="Calibri" w:hAnsiTheme="majorHAnsi" w:cstheme="majorHAnsi"/>
          <w:sz w:val="22"/>
          <w:szCs w:val="22"/>
        </w:rPr>
        <w:t>This</w:t>
      </w:r>
      <w:r w:rsidR="00904093">
        <w:rPr>
          <w:rFonts w:asciiTheme="majorHAnsi" w:eastAsia="Calibri" w:hAnsiTheme="majorHAnsi" w:cstheme="majorHAnsi"/>
          <w:sz w:val="22"/>
          <w:szCs w:val="22"/>
        </w:rPr>
        <w:t xml:space="preserve"> work purposefully aligns with the broader educational vision </w:t>
      </w:r>
      <w:r w:rsidR="00B10662">
        <w:rPr>
          <w:rFonts w:asciiTheme="majorHAnsi" w:eastAsia="Calibri" w:hAnsiTheme="majorHAnsi" w:cstheme="majorHAnsi"/>
          <w:sz w:val="22"/>
          <w:szCs w:val="22"/>
        </w:rPr>
        <w:t xml:space="preserve">and mission </w:t>
      </w:r>
      <w:r w:rsidR="00904093">
        <w:rPr>
          <w:rFonts w:asciiTheme="majorHAnsi" w:eastAsia="Calibri" w:hAnsiTheme="majorHAnsi" w:cstheme="majorHAnsi"/>
          <w:sz w:val="22"/>
          <w:szCs w:val="22"/>
        </w:rPr>
        <w:t xml:space="preserve">of the </w:t>
      </w:r>
      <w:r w:rsidR="00B10662">
        <w:rPr>
          <w:rFonts w:asciiTheme="majorHAnsi" w:eastAsia="Calibri" w:hAnsiTheme="majorHAnsi" w:cstheme="majorHAnsi"/>
          <w:sz w:val="22"/>
          <w:szCs w:val="22"/>
        </w:rPr>
        <w:t xml:space="preserve">USG </w:t>
      </w:r>
      <w:r w:rsidR="00904093">
        <w:rPr>
          <w:rFonts w:asciiTheme="majorHAnsi" w:eastAsia="Calibri" w:hAnsiTheme="majorHAnsi" w:cstheme="majorHAnsi"/>
          <w:sz w:val="22"/>
          <w:szCs w:val="22"/>
        </w:rPr>
        <w:t xml:space="preserve">Momentum Approach. </w:t>
      </w: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2666A" w:rsidRDefault="0092666A" w:rsidP="00904093">
      <w:pPr>
        <w:jc w:val="both"/>
        <w:rPr>
          <w:rFonts w:asciiTheme="majorHAnsi" w:eastAsia="Calibri" w:hAnsiTheme="majorHAnsi" w:cstheme="majorHAnsi"/>
          <w:sz w:val="22"/>
          <w:szCs w:val="22"/>
        </w:rPr>
      </w:pPr>
    </w:p>
    <w:p w:rsidR="0092666A" w:rsidRDefault="0092666A" w:rsidP="00904093">
      <w:pPr>
        <w:jc w:val="both"/>
        <w:rPr>
          <w:rFonts w:asciiTheme="majorHAnsi" w:eastAsia="Calibri" w:hAnsiTheme="majorHAnsi" w:cstheme="majorHAnsi"/>
          <w:sz w:val="22"/>
          <w:szCs w:val="22"/>
        </w:rPr>
      </w:pPr>
    </w:p>
    <w:p w:rsidR="0092666A" w:rsidRDefault="0092666A" w:rsidP="00904093">
      <w:pPr>
        <w:jc w:val="both"/>
        <w:rPr>
          <w:rFonts w:asciiTheme="majorHAnsi" w:eastAsia="Calibri" w:hAnsiTheme="majorHAnsi" w:cstheme="majorHAnsi"/>
          <w:sz w:val="22"/>
          <w:szCs w:val="22"/>
        </w:rPr>
      </w:pPr>
    </w:p>
    <w:p w:rsidR="0092666A" w:rsidRDefault="0092666A" w:rsidP="00904093">
      <w:pPr>
        <w:jc w:val="both"/>
        <w:rPr>
          <w:rFonts w:asciiTheme="majorHAnsi" w:eastAsia="Calibri" w:hAnsiTheme="majorHAnsi" w:cstheme="majorHAnsi"/>
          <w:sz w:val="22"/>
          <w:szCs w:val="22"/>
        </w:rPr>
      </w:pPr>
    </w:p>
    <w:p w:rsidR="0092666A" w:rsidRDefault="0092666A" w:rsidP="00904093">
      <w:pPr>
        <w:jc w:val="both"/>
        <w:rPr>
          <w:rFonts w:asciiTheme="majorHAnsi" w:eastAsia="Calibri" w:hAnsiTheme="majorHAnsi" w:cstheme="majorHAnsi"/>
          <w:sz w:val="22"/>
          <w:szCs w:val="22"/>
        </w:rPr>
      </w:pPr>
    </w:p>
    <w:p w:rsidR="0092666A" w:rsidRDefault="0092666A"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Default="00904093" w:rsidP="00904093">
      <w:pPr>
        <w:jc w:val="both"/>
        <w:rPr>
          <w:rFonts w:asciiTheme="majorHAnsi" w:eastAsia="Calibri" w:hAnsiTheme="majorHAnsi" w:cstheme="majorHAnsi"/>
          <w:sz w:val="22"/>
          <w:szCs w:val="22"/>
        </w:rPr>
      </w:pPr>
    </w:p>
    <w:p w:rsidR="00904093" w:rsidRPr="00904093" w:rsidRDefault="00904093" w:rsidP="00904093">
      <w:pPr>
        <w:jc w:val="both"/>
        <w:rPr>
          <w:rFonts w:asciiTheme="majorHAnsi" w:eastAsia="Calibri" w:hAnsiTheme="majorHAnsi" w:cstheme="majorHAnsi"/>
          <w:sz w:val="22"/>
          <w:szCs w:val="22"/>
        </w:rPr>
      </w:pPr>
    </w:p>
    <w:p w:rsidR="0092666A" w:rsidRDefault="0092666A" w:rsidP="00942AD8">
      <w:pPr>
        <w:jc w:val="center"/>
        <w:rPr>
          <w:rFonts w:asciiTheme="majorHAnsi" w:hAnsiTheme="majorHAnsi" w:cs="Times New Roman"/>
          <w:b/>
          <w:iCs/>
          <w:color w:val="000000" w:themeColor="text1"/>
          <w:sz w:val="22"/>
          <w:szCs w:val="22"/>
        </w:rPr>
      </w:pPr>
    </w:p>
    <w:p w:rsidR="003A7C8E" w:rsidRPr="00062652" w:rsidRDefault="003A7C8E" w:rsidP="00942AD8">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APPENDIX</w:t>
      </w:r>
    </w:p>
    <w:p w:rsidR="003A7C8E" w:rsidRPr="00062652" w:rsidRDefault="003A7C8E" w:rsidP="00464840">
      <w:pPr>
        <w:rPr>
          <w:rFonts w:asciiTheme="majorHAnsi" w:hAnsiTheme="majorHAnsi" w:cs="Times New Roman"/>
          <w:b/>
          <w:iCs/>
          <w:color w:val="000000" w:themeColor="text1"/>
          <w:sz w:val="22"/>
          <w:szCs w:val="22"/>
        </w:rPr>
      </w:pPr>
    </w:p>
    <w:p w:rsidR="00464840" w:rsidRPr="00062652" w:rsidRDefault="00464840" w:rsidP="00464840">
      <w:pP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Table 1.  Credits Successfully Comple</w:t>
      </w:r>
      <w:r w:rsidR="00F62CF7" w:rsidRPr="00062652">
        <w:rPr>
          <w:rFonts w:asciiTheme="majorHAnsi" w:hAnsiTheme="majorHAnsi" w:cs="Times New Roman"/>
          <w:b/>
          <w:iCs/>
          <w:color w:val="000000" w:themeColor="text1"/>
          <w:sz w:val="22"/>
          <w:szCs w:val="22"/>
        </w:rPr>
        <w:t>ted in the First Year</w:t>
      </w:r>
      <w:r w:rsidRPr="00062652">
        <w:rPr>
          <w:rFonts w:asciiTheme="majorHAnsi" w:hAnsiTheme="majorHAnsi" w:cs="Times New Roman"/>
          <w:b/>
          <w:iCs/>
          <w:color w:val="000000" w:themeColor="text1"/>
          <w:sz w:val="22"/>
          <w:szCs w:val="22"/>
        </w:rPr>
        <w:t>*</w:t>
      </w:r>
    </w:p>
    <w:p w:rsidR="00E444FF" w:rsidRPr="00062652" w:rsidRDefault="00E444FF" w:rsidP="00464840">
      <w:pPr>
        <w:rPr>
          <w:rFonts w:asciiTheme="majorHAnsi" w:hAnsiTheme="majorHAnsi" w:cs="Times New Roman"/>
          <w:b/>
          <w:iCs/>
          <w:color w:val="000000" w:themeColor="text1"/>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9"/>
        <w:gridCol w:w="1080"/>
        <w:gridCol w:w="1080"/>
        <w:gridCol w:w="1080"/>
        <w:gridCol w:w="1170"/>
        <w:gridCol w:w="1080"/>
        <w:gridCol w:w="1057"/>
      </w:tblGrid>
      <w:tr w:rsidR="0098426C" w:rsidRPr="00062652" w:rsidTr="0098426C">
        <w:tc>
          <w:tcPr>
            <w:tcW w:w="8149" w:type="dxa"/>
            <w:gridSpan w:val="6"/>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8426C" w:rsidRPr="00062652" w:rsidRDefault="0098426C" w:rsidP="00007F95">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 xml:space="preserve">                                                         ENTERING COHORT</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8426C" w:rsidRPr="00062652" w:rsidRDefault="0098426C" w:rsidP="00007F95">
            <w:pPr>
              <w:jc w:val="center"/>
              <w:rPr>
                <w:rFonts w:asciiTheme="majorHAnsi" w:hAnsiTheme="majorHAnsi" w:cs="Times New Roman"/>
                <w:b/>
                <w:iCs/>
                <w:color w:val="000000" w:themeColor="text1"/>
                <w:sz w:val="22"/>
                <w:szCs w:val="22"/>
              </w:rPr>
            </w:pPr>
          </w:p>
        </w:tc>
      </w:tr>
      <w:tr w:rsidR="0098426C" w:rsidRPr="00062652" w:rsidTr="0098426C">
        <w:tc>
          <w:tcPr>
            <w:tcW w:w="26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8426C" w:rsidRPr="00062652" w:rsidRDefault="0098426C" w:rsidP="00E74F0E">
            <w:pPr>
              <w:rPr>
                <w:rFonts w:asciiTheme="majorHAnsi" w:hAnsiTheme="majorHAnsi" w:cs="Times New Roman"/>
                <w:iCs/>
                <w:color w:val="000000" w:themeColor="text1"/>
                <w:sz w:val="22"/>
                <w:szCs w:val="22"/>
              </w:rPr>
            </w:pP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2013</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2014</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2015</w:t>
            </w:r>
          </w:p>
        </w:tc>
        <w:tc>
          <w:tcPr>
            <w:tcW w:w="1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2016</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2017</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2018</w:t>
            </w:r>
          </w:p>
        </w:tc>
      </w:tr>
      <w:tr w:rsidR="0098426C" w:rsidRPr="00062652" w:rsidTr="0098426C">
        <w:tc>
          <w:tcPr>
            <w:tcW w:w="26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All Entering Freshmen**</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2,237</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2,205</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2,410</w:t>
            </w:r>
          </w:p>
        </w:tc>
        <w:tc>
          <w:tcPr>
            <w:tcW w:w="1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2,375</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vAlign w:val="bottom"/>
          </w:tcPr>
          <w:p w:rsidR="0098426C" w:rsidRPr="00062652" w:rsidRDefault="0098426C" w:rsidP="00BA7AC6">
            <w:pPr>
              <w:jc w:val="right"/>
              <w:rPr>
                <w:rFonts w:ascii="Arial" w:hAnsi="Arial" w:cs="Arial"/>
                <w:color w:val="000000"/>
                <w:sz w:val="20"/>
                <w:szCs w:val="20"/>
              </w:rPr>
            </w:pPr>
            <w:r w:rsidRPr="00062652">
              <w:rPr>
                <w:rFonts w:ascii="Arial" w:hAnsi="Arial" w:cs="Arial"/>
                <w:color w:val="000000"/>
                <w:sz w:val="20"/>
                <w:szCs w:val="20"/>
              </w:rPr>
              <w:t>2,240</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right"/>
              <w:rPr>
                <w:rFonts w:ascii="Arial" w:hAnsi="Arial" w:cs="Arial"/>
                <w:color w:val="000000"/>
                <w:sz w:val="20"/>
                <w:szCs w:val="20"/>
              </w:rPr>
            </w:pPr>
            <w:r w:rsidRPr="00062652">
              <w:rPr>
                <w:rFonts w:ascii="Arial" w:hAnsi="Arial" w:cs="Arial"/>
                <w:color w:val="000000"/>
                <w:sz w:val="20"/>
                <w:szCs w:val="20"/>
              </w:rPr>
              <w:t>2,289</w:t>
            </w:r>
          </w:p>
        </w:tc>
      </w:tr>
      <w:tr w:rsidR="0098426C" w:rsidRPr="00062652" w:rsidTr="0098426C">
        <w:tc>
          <w:tcPr>
            <w:tcW w:w="265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8426C" w:rsidRPr="00062652" w:rsidRDefault="0098426C" w:rsidP="00BA7AC6">
            <w:pPr>
              <w:jc w:val="right"/>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Between 15 and 29 credit hours</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1,233</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1,412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1,406</w:t>
            </w:r>
          </w:p>
        </w:tc>
        <w:tc>
          <w:tcPr>
            <w:tcW w:w="1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1,412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98426C">
            <w:pPr>
              <w:jc w:val="center"/>
              <w:rPr>
                <w:rFonts w:ascii="Arial" w:hAnsi="Arial" w:cs="Arial"/>
                <w:color w:val="000000"/>
                <w:sz w:val="20"/>
                <w:szCs w:val="20"/>
              </w:rPr>
            </w:pPr>
            <w:r w:rsidRPr="00062652">
              <w:rPr>
                <w:rFonts w:ascii="Arial" w:hAnsi="Arial" w:cs="Arial"/>
                <w:color w:val="000000"/>
                <w:sz w:val="20"/>
                <w:szCs w:val="20"/>
              </w:rPr>
              <w:t>1,328</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98426C">
            <w:pPr>
              <w:jc w:val="center"/>
              <w:rPr>
                <w:rFonts w:ascii="Arial" w:hAnsi="Arial" w:cs="Arial"/>
                <w:color w:val="000000"/>
                <w:sz w:val="20"/>
                <w:szCs w:val="20"/>
              </w:rPr>
            </w:pPr>
            <w:r w:rsidRPr="00062652">
              <w:rPr>
                <w:rFonts w:ascii="Arial" w:hAnsi="Arial" w:cs="Arial"/>
                <w:color w:val="000000"/>
                <w:sz w:val="20"/>
                <w:szCs w:val="20"/>
              </w:rPr>
              <w:t>1,296</w:t>
            </w:r>
          </w:p>
        </w:tc>
      </w:tr>
      <w:tr w:rsidR="0098426C" w:rsidRPr="00062652" w:rsidTr="0098426C">
        <w:tc>
          <w:tcPr>
            <w:tcW w:w="2659"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right"/>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successfully completed***</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55.9%</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58.6%</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59.2%</w:t>
            </w:r>
          </w:p>
        </w:tc>
        <w:tc>
          <w:tcPr>
            <w:tcW w:w="1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58.6%</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vAlign w:val="bottom"/>
          </w:tcPr>
          <w:p w:rsidR="0098426C" w:rsidRPr="00062652" w:rsidRDefault="0098426C" w:rsidP="00BA7AC6">
            <w:pPr>
              <w:jc w:val="right"/>
              <w:rPr>
                <w:rFonts w:ascii="Arial" w:hAnsi="Arial" w:cs="Arial"/>
                <w:color w:val="000000"/>
                <w:sz w:val="20"/>
                <w:szCs w:val="20"/>
              </w:rPr>
            </w:pPr>
            <w:r w:rsidRPr="00062652">
              <w:rPr>
                <w:rFonts w:ascii="Arial" w:hAnsi="Arial" w:cs="Arial"/>
                <w:color w:val="000000"/>
                <w:sz w:val="20"/>
                <w:szCs w:val="20"/>
              </w:rPr>
              <w:t>59.29%</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98426C">
            <w:pPr>
              <w:jc w:val="center"/>
              <w:rPr>
                <w:rFonts w:ascii="Arial" w:hAnsi="Arial" w:cs="Arial"/>
                <w:color w:val="000000"/>
                <w:sz w:val="20"/>
                <w:szCs w:val="20"/>
              </w:rPr>
            </w:pPr>
            <w:r w:rsidRPr="00062652">
              <w:rPr>
                <w:rFonts w:ascii="Arial" w:hAnsi="Arial" w:cs="Arial"/>
                <w:color w:val="000000"/>
                <w:sz w:val="20"/>
                <w:szCs w:val="20"/>
              </w:rPr>
              <w:t>56.18%</w:t>
            </w:r>
          </w:p>
        </w:tc>
      </w:tr>
      <w:tr w:rsidR="0098426C" w:rsidRPr="00062652" w:rsidTr="0098426C">
        <w:tc>
          <w:tcPr>
            <w:tcW w:w="265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E6E6E6"/>
          </w:tcPr>
          <w:p w:rsidR="0098426C" w:rsidRPr="00062652" w:rsidRDefault="0098426C" w:rsidP="00BA7AC6">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30 or more credit hours</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430</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439</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437</w:t>
            </w:r>
          </w:p>
        </w:tc>
        <w:tc>
          <w:tcPr>
            <w:tcW w:w="1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439</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vAlign w:val="bottom"/>
          </w:tcPr>
          <w:p w:rsidR="0098426C" w:rsidRPr="00062652" w:rsidRDefault="0098426C" w:rsidP="00BA7AC6">
            <w:pPr>
              <w:jc w:val="right"/>
              <w:rPr>
                <w:rFonts w:ascii="Arial" w:hAnsi="Arial" w:cs="Arial"/>
                <w:color w:val="000000"/>
                <w:sz w:val="20"/>
                <w:szCs w:val="20"/>
              </w:rPr>
            </w:pPr>
            <w:r w:rsidRPr="00062652">
              <w:rPr>
                <w:rFonts w:ascii="Arial" w:hAnsi="Arial" w:cs="Arial"/>
                <w:color w:val="000000"/>
                <w:sz w:val="20"/>
                <w:szCs w:val="20"/>
              </w:rPr>
              <w:t>329</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98426C">
            <w:pPr>
              <w:jc w:val="center"/>
              <w:rPr>
                <w:rFonts w:ascii="Arial" w:hAnsi="Arial" w:cs="Arial"/>
                <w:color w:val="000000"/>
                <w:sz w:val="20"/>
                <w:szCs w:val="20"/>
              </w:rPr>
            </w:pPr>
            <w:r w:rsidRPr="00062652">
              <w:rPr>
                <w:rFonts w:ascii="Arial" w:hAnsi="Arial" w:cs="Arial"/>
                <w:color w:val="000000"/>
                <w:sz w:val="20"/>
                <w:szCs w:val="20"/>
              </w:rPr>
              <w:t>364</w:t>
            </w:r>
          </w:p>
        </w:tc>
      </w:tr>
      <w:tr w:rsidR="0098426C" w:rsidRPr="00062652" w:rsidTr="0098426C">
        <w:tc>
          <w:tcPr>
            <w:tcW w:w="2659" w:type="dxa"/>
            <w:tcBorders>
              <w:top w:val="nil"/>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successfully completed***</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19.5%</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18.2%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18.4%</w:t>
            </w:r>
          </w:p>
        </w:tc>
        <w:tc>
          <w:tcPr>
            <w:tcW w:w="117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BA7AC6">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18.2%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vAlign w:val="bottom"/>
          </w:tcPr>
          <w:p w:rsidR="0098426C" w:rsidRPr="00062652" w:rsidRDefault="0098426C" w:rsidP="00BA7AC6">
            <w:pPr>
              <w:jc w:val="right"/>
              <w:rPr>
                <w:rFonts w:ascii="Arial" w:hAnsi="Arial" w:cs="Arial"/>
                <w:color w:val="000000"/>
                <w:sz w:val="20"/>
                <w:szCs w:val="20"/>
              </w:rPr>
            </w:pPr>
            <w:r w:rsidRPr="00062652">
              <w:rPr>
                <w:rFonts w:ascii="Arial" w:hAnsi="Arial" w:cs="Arial"/>
                <w:color w:val="000000"/>
                <w:sz w:val="20"/>
                <w:szCs w:val="20"/>
              </w:rPr>
              <w:t>14.69%</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6E6E6"/>
          </w:tcPr>
          <w:p w:rsidR="0098426C" w:rsidRPr="00062652" w:rsidRDefault="0098426C" w:rsidP="0098426C">
            <w:pPr>
              <w:jc w:val="center"/>
              <w:rPr>
                <w:rFonts w:ascii="Arial" w:hAnsi="Arial" w:cs="Arial"/>
                <w:color w:val="000000"/>
                <w:sz w:val="20"/>
                <w:szCs w:val="20"/>
              </w:rPr>
            </w:pPr>
            <w:r w:rsidRPr="00062652">
              <w:rPr>
                <w:rFonts w:ascii="Arial" w:hAnsi="Arial" w:cs="Arial"/>
                <w:color w:val="000000"/>
                <w:sz w:val="20"/>
                <w:szCs w:val="20"/>
              </w:rPr>
              <w:t>15.90%</w:t>
            </w:r>
          </w:p>
        </w:tc>
      </w:tr>
    </w:tbl>
    <w:p w:rsidR="000A7037" w:rsidRPr="00062652" w:rsidRDefault="000A7037" w:rsidP="00464840">
      <w:pPr>
        <w:rPr>
          <w:rFonts w:asciiTheme="majorHAnsi" w:hAnsiTheme="majorHAnsi" w:cs="Times New Roman"/>
          <w:iCs/>
          <w:color w:val="000000" w:themeColor="text1"/>
          <w:sz w:val="22"/>
          <w:szCs w:val="22"/>
        </w:rPr>
      </w:pPr>
    </w:p>
    <w:p w:rsidR="00464840" w:rsidRPr="00062652" w:rsidRDefault="00464840" w:rsidP="000A7037">
      <w:pPr>
        <w:jc w:val="both"/>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*The “First Year” in Table 1 is defined as only Fall and Spring each year, 201</w:t>
      </w:r>
      <w:r w:rsidR="00F62CF7" w:rsidRPr="00062652">
        <w:rPr>
          <w:rFonts w:asciiTheme="majorHAnsi" w:hAnsiTheme="majorHAnsi" w:cs="Times New Roman"/>
          <w:iCs/>
          <w:color w:val="000000" w:themeColor="text1"/>
          <w:sz w:val="22"/>
          <w:szCs w:val="22"/>
        </w:rPr>
        <w:t>3</w:t>
      </w:r>
      <w:r w:rsidRPr="00062652">
        <w:rPr>
          <w:rFonts w:asciiTheme="majorHAnsi" w:hAnsiTheme="majorHAnsi" w:cs="Times New Roman"/>
          <w:iCs/>
          <w:color w:val="000000" w:themeColor="text1"/>
          <w:sz w:val="22"/>
          <w:szCs w:val="22"/>
        </w:rPr>
        <w:t>-201</w:t>
      </w:r>
      <w:r w:rsidR="00F62CF7" w:rsidRPr="00062652">
        <w:rPr>
          <w:rFonts w:asciiTheme="majorHAnsi" w:hAnsiTheme="majorHAnsi" w:cs="Times New Roman"/>
          <w:iCs/>
          <w:color w:val="000000" w:themeColor="text1"/>
          <w:sz w:val="22"/>
          <w:szCs w:val="22"/>
        </w:rPr>
        <w:t>4</w:t>
      </w:r>
      <w:r w:rsidRPr="00062652">
        <w:rPr>
          <w:rFonts w:asciiTheme="majorHAnsi" w:hAnsiTheme="majorHAnsi" w:cs="Times New Roman"/>
          <w:iCs/>
          <w:color w:val="000000" w:themeColor="text1"/>
          <w:sz w:val="22"/>
          <w:szCs w:val="22"/>
        </w:rPr>
        <w:t xml:space="preserve"> through 201</w:t>
      </w:r>
      <w:r w:rsidR="00F62CF7" w:rsidRPr="00062652">
        <w:rPr>
          <w:rFonts w:asciiTheme="majorHAnsi" w:hAnsiTheme="majorHAnsi" w:cs="Times New Roman"/>
          <w:iCs/>
          <w:color w:val="000000" w:themeColor="text1"/>
          <w:sz w:val="22"/>
          <w:szCs w:val="22"/>
        </w:rPr>
        <w:t>7</w:t>
      </w:r>
      <w:r w:rsidRPr="00062652">
        <w:rPr>
          <w:rFonts w:asciiTheme="majorHAnsi" w:hAnsiTheme="majorHAnsi" w:cs="Times New Roman"/>
          <w:iCs/>
          <w:color w:val="000000" w:themeColor="text1"/>
          <w:sz w:val="22"/>
          <w:szCs w:val="22"/>
        </w:rPr>
        <w:t>-201</w:t>
      </w:r>
      <w:r w:rsidR="00F62CF7" w:rsidRPr="00062652">
        <w:rPr>
          <w:rFonts w:asciiTheme="majorHAnsi" w:hAnsiTheme="majorHAnsi" w:cs="Times New Roman"/>
          <w:iCs/>
          <w:color w:val="000000" w:themeColor="text1"/>
          <w:sz w:val="22"/>
          <w:szCs w:val="22"/>
        </w:rPr>
        <w:t>8</w:t>
      </w:r>
      <w:r w:rsidRPr="00062652">
        <w:rPr>
          <w:rFonts w:asciiTheme="majorHAnsi" w:hAnsiTheme="majorHAnsi" w:cs="Times New Roman"/>
          <w:iCs/>
          <w:color w:val="000000" w:themeColor="text1"/>
          <w:sz w:val="22"/>
          <w:szCs w:val="22"/>
        </w:rPr>
        <w:t>. Many students enroll in the summer in order to earn 30+ hours their first year.</w:t>
      </w:r>
    </w:p>
    <w:p w:rsidR="00464840" w:rsidRPr="00062652" w:rsidRDefault="00464840" w:rsidP="000A7037">
      <w:pPr>
        <w:jc w:val="both"/>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w:t>
      </w:r>
      <w:r w:rsidR="00EF00ED" w:rsidRPr="00062652">
        <w:rPr>
          <w:rFonts w:asciiTheme="majorHAnsi" w:hAnsiTheme="majorHAnsi" w:cs="Times New Roman"/>
          <w:iCs/>
          <w:color w:val="000000" w:themeColor="text1"/>
          <w:sz w:val="22"/>
          <w:szCs w:val="22"/>
        </w:rPr>
        <w:t xml:space="preserve">The numbers of All </w:t>
      </w:r>
      <w:r w:rsidRPr="00062652">
        <w:rPr>
          <w:rFonts w:asciiTheme="majorHAnsi" w:hAnsiTheme="majorHAnsi" w:cs="Times New Roman"/>
          <w:iCs/>
          <w:color w:val="000000" w:themeColor="text1"/>
          <w:sz w:val="22"/>
          <w:szCs w:val="22"/>
        </w:rPr>
        <w:t xml:space="preserve">Entering </w:t>
      </w:r>
      <w:r w:rsidR="00EF00ED" w:rsidRPr="00062652">
        <w:rPr>
          <w:rFonts w:asciiTheme="majorHAnsi" w:hAnsiTheme="majorHAnsi" w:cs="Times New Roman"/>
          <w:iCs/>
          <w:color w:val="000000" w:themeColor="text1"/>
          <w:sz w:val="22"/>
          <w:szCs w:val="22"/>
        </w:rPr>
        <w:t>F</w:t>
      </w:r>
      <w:r w:rsidRPr="00062652">
        <w:rPr>
          <w:rFonts w:asciiTheme="majorHAnsi" w:hAnsiTheme="majorHAnsi" w:cs="Times New Roman"/>
          <w:iCs/>
          <w:color w:val="000000" w:themeColor="text1"/>
          <w:sz w:val="22"/>
          <w:szCs w:val="22"/>
        </w:rPr>
        <w:t xml:space="preserve">reshman </w:t>
      </w:r>
      <w:r w:rsidR="00EF00ED" w:rsidRPr="00062652">
        <w:rPr>
          <w:rFonts w:asciiTheme="majorHAnsi" w:hAnsiTheme="majorHAnsi" w:cs="Times New Roman"/>
          <w:iCs/>
          <w:color w:val="000000" w:themeColor="text1"/>
          <w:sz w:val="22"/>
          <w:szCs w:val="22"/>
        </w:rPr>
        <w:t xml:space="preserve">are determined using </w:t>
      </w:r>
      <w:r w:rsidRPr="00062652">
        <w:rPr>
          <w:rFonts w:asciiTheme="majorHAnsi" w:hAnsiTheme="majorHAnsi" w:cs="Times New Roman"/>
          <w:iCs/>
          <w:color w:val="000000" w:themeColor="text1"/>
          <w:sz w:val="22"/>
          <w:szCs w:val="22"/>
        </w:rPr>
        <w:t>IPEDS methodology</w:t>
      </w:r>
      <w:r w:rsidR="00EF00ED" w:rsidRPr="00062652">
        <w:rPr>
          <w:rFonts w:asciiTheme="majorHAnsi" w:hAnsiTheme="majorHAnsi" w:cs="Times New Roman"/>
          <w:iCs/>
          <w:color w:val="000000" w:themeColor="text1"/>
          <w:sz w:val="22"/>
          <w:szCs w:val="22"/>
        </w:rPr>
        <w:t>,</w:t>
      </w:r>
      <w:r w:rsidRPr="00062652">
        <w:rPr>
          <w:rFonts w:asciiTheme="majorHAnsi" w:hAnsiTheme="majorHAnsi" w:cs="Times New Roman"/>
          <w:iCs/>
          <w:color w:val="000000" w:themeColor="text1"/>
          <w:sz w:val="22"/>
          <w:szCs w:val="22"/>
        </w:rPr>
        <w:t xml:space="preserve"> with the exception </w:t>
      </w:r>
      <w:r w:rsidR="00EF00ED" w:rsidRPr="00062652">
        <w:rPr>
          <w:rFonts w:asciiTheme="majorHAnsi" w:hAnsiTheme="majorHAnsi" w:cs="Times New Roman"/>
          <w:iCs/>
          <w:color w:val="000000" w:themeColor="text1"/>
          <w:sz w:val="22"/>
          <w:szCs w:val="22"/>
        </w:rPr>
        <w:t>that</w:t>
      </w:r>
      <w:r w:rsidRPr="00062652">
        <w:rPr>
          <w:rFonts w:asciiTheme="majorHAnsi" w:hAnsiTheme="majorHAnsi" w:cs="Times New Roman"/>
          <w:iCs/>
          <w:color w:val="000000" w:themeColor="text1"/>
          <w:sz w:val="22"/>
          <w:szCs w:val="22"/>
        </w:rPr>
        <w:t xml:space="preserve"> both full-time a</w:t>
      </w:r>
      <w:r w:rsidR="00EF00ED" w:rsidRPr="00062652">
        <w:rPr>
          <w:rFonts w:asciiTheme="majorHAnsi" w:hAnsiTheme="majorHAnsi" w:cs="Times New Roman"/>
          <w:iCs/>
          <w:color w:val="000000" w:themeColor="text1"/>
          <w:sz w:val="22"/>
          <w:szCs w:val="22"/>
        </w:rPr>
        <w:t>nd part-time entering s</w:t>
      </w:r>
      <w:r w:rsidR="00CA24C1" w:rsidRPr="00062652">
        <w:rPr>
          <w:rFonts w:asciiTheme="majorHAnsi" w:hAnsiTheme="majorHAnsi" w:cs="Times New Roman"/>
          <w:iCs/>
          <w:color w:val="000000" w:themeColor="text1"/>
          <w:sz w:val="22"/>
          <w:szCs w:val="22"/>
        </w:rPr>
        <w:t>tudents are included in Table 1, whereas IPEDS only includes “</w:t>
      </w:r>
      <w:r w:rsidRPr="00062652">
        <w:rPr>
          <w:rFonts w:asciiTheme="majorHAnsi" w:hAnsiTheme="majorHAnsi" w:cs="Times New Roman"/>
          <w:iCs/>
          <w:color w:val="000000" w:themeColor="text1"/>
          <w:sz w:val="22"/>
          <w:szCs w:val="22"/>
        </w:rPr>
        <w:t>First-tim</w:t>
      </w:r>
      <w:r w:rsidR="00CA24C1" w:rsidRPr="00062652">
        <w:rPr>
          <w:rFonts w:asciiTheme="majorHAnsi" w:hAnsiTheme="majorHAnsi" w:cs="Times New Roman"/>
          <w:iCs/>
          <w:color w:val="000000" w:themeColor="text1"/>
          <w:sz w:val="22"/>
          <w:szCs w:val="22"/>
        </w:rPr>
        <w:t>e, Full-time Entering Freshmen.”</w:t>
      </w:r>
    </w:p>
    <w:p w:rsidR="00464840" w:rsidRPr="00062652" w:rsidRDefault="00464840" w:rsidP="000A7037">
      <w:pPr>
        <w:jc w:val="both"/>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 Credit hours successfully completed includes grades of A, B, C, and S for the Fall and Spring terms of the student’s entering cohort (example: Fall 201</w:t>
      </w:r>
      <w:r w:rsidR="00F62CF7" w:rsidRPr="00062652">
        <w:rPr>
          <w:rFonts w:asciiTheme="majorHAnsi" w:hAnsiTheme="majorHAnsi" w:cs="Times New Roman"/>
          <w:iCs/>
          <w:color w:val="000000" w:themeColor="text1"/>
          <w:sz w:val="22"/>
          <w:szCs w:val="22"/>
        </w:rPr>
        <w:t>3</w:t>
      </w:r>
      <w:r w:rsidRPr="00062652">
        <w:rPr>
          <w:rFonts w:asciiTheme="majorHAnsi" w:hAnsiTheme="majorHAnsi" w:cs="Times New Roman"/>
          <w:iCs/>
          <w:color w:val="000000" w:themeColor="text1"/>
          <w:sz w:val="22"/>
          <w:szCs w:val="22"/>
        </w:rPr>
        <w:t xml:space="preserve"> entering cohort includes courses taken in Fall 201</w:t>
      </w:r>
      <w:r w:rsidR="00F62CF7" w:rsidRPr="00062652">
        <w:rPr>
          <w:rFonts w:asciiTheme="majorHAnsi" w:hAnsiTheme="majorHAnsi" w:cs="Times New Roman"/>
          <w:iCs/>
          <w:color w:val="000000" w:themeColor="text1"/>
          <w:sz w:val="22"/>
          <w:szCs w:val="22"/>
        </w:rPr>
        <w:t>3</w:t>
      </w:r>
      <w:r w:rsidRPr="00062652">
        <w:rPr>
          <w:rFonts w:asciiTheme="majorHAnsi" w:hAnsiTheme="majorHAnsi" w:cs="Times New Roman"/>
          <w:iCs/>
          <w:color w:val="000000" w:themeColor="text1"/>
          <w:sz w:val="22"/>
          <w:szCs w:val="22"/>
        </w:rPr>
        <w:t xml:space="preserve"> and Spring 201</w:t>
      </w:r>
      <w:r w:rsidR="00F62CF7" w:rsidRPr="00062652">
        <w:rPr>
          <w:rFonts w:asciiTheme="majorHAnsi" w:hAnsiTheme="majorHAnsi" w:cs="Times New Roman"/>
          <w:iCs/>
          <w:color w:val="000000" w:themeColor="text1"/>
          <w:sz w:val="22"/>
          <w:szCs w:val="22"/>
        </w:rPr>
        <w:t>4</w:t>
      </w:r>
      <w:r w:rsidRPr="00062652">
        <w:rPr>
          <w:rFonts w:asciiTheme="majorHAnsi" w:hAnsiTheme="majorHAnsi" w:cs="Times New Roman"/>
          <w:iCs/>
          <w:color w:val="000000" w:themeColor="text1"/>
          <w:sz w:val="22"/>
          <w:szCs w:val="22"/>
        </w:rPr>
        <w:t xml:space="preserve">).  NOTE: UWG does not use the grade of P (passing).  </w:t>
      </w:r>
    </w:p>
    <w:p w:rsidR="003A7C8E" w:rsidRPr="00062652" w:rsidRDefault="003A7C8E" w:rsidP="006E39E7">
      <w:pPr>
        <w:rPr>
          <w:rFonts w:asciiTheme="majorHAnsi" w:hAnsiTheme="majorHAnsi" w:cs="Times New Roman"/>
          <w:b/>
          <w:iCs/>
          <w:color w:val="000000" w:themeColor="text1"/>
          <w:sz w:val="20"/>
          <w:szCs w:val="20"/>
        </w:rPr>
      </w:pPr>
    </w:p>
    <w:p w:rsidR="003A7C8E" w:rsidRPr="00062652" w:rsidRDefault="003A7C8E" w:rsidP="006E39E7">
      <w:pPr>
        <w:rPr>
          <w:rFonts w:asciiTheme="majorHAnsi" w:hAnsiTheme="majorHAnsi" w:cs="Times New Roman"/>
          <w:b/>
          <w:iCs/>
          <w:color w:val="000000" w:themeColor="text1"/>
          <w:sz w:val="20"/>
          <w:szCs w:val="20"/>
        </w:rPr>
      </w:pPr>
    </w:p>
    <w:p w:rsidR="003A7C8E" w:rsidRPr="00062652" w:rsidRDefault="003A7C8E" w:rsidP="006E39E7">
      <w:pPr>
        <w:rPr>
          <w:rFonts w:asciiTheme="majorHAnsi" w:hAnsiTheme="majorHAnsi" w:cs="Times New Roman"/>
          <w:b/>
          <w:iCs/>
          <w:color w:val="000000" w:themeColor="text1"/>
          <w:sz w:val="20"/>
          <w:szCs w:val="20"/>
        </w:rPr>
      </w:pPr>
    </w:p>
    <w:p w:rsidR="006E39E7" w:rsidRPr="00062652" w:rsidRDefault="00DE0D49" w:rsidP="006E39E7">
      <w:pP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Table 2</w:t>
      </w:r>
      <w:r w:rsidR="006E39E7" w:rsidRPr="00062652">
        <w:rPr>
          <w:rFonts w:asciiTheme="majorHAnsi" w:hAnsiTheme="majorHAnsi" w:cs="Times New Roman"/>
          <w:b/>
          <w:iCs/>
          <w:color w:val="000000" w:themeColor="text1"/>
          <w:sz w:val="22"/>
          <w:szCs w:val="22"/>
        </w:rPr>
        <w:t xml:space="preserve">.  </w:t>
      </w:r>
      <w:r w:rsidR="008B5853" w:rsidRPr="00062652">
        <w:rPr>
          <w:rFonts w:asciiTheme="majorHAnsi" w:hAnsiTheme="majorHAnsi" w:cs="Times New Roman"/>
          <w:b/>
          <w:iCs/>
          <w:color w:val="000000" w:themeColor="text1"/>
          <w:sz w:val="22"/>
          <w:szCs w:val="22"/>
        </w:rPr>
        <w:t xml:space="preserve">First Year Retention (Freshman to Sophomore) </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49"/>
        <w:gridCol w:w="1080"/>
        <w:gridCol w:w="90"/>
        <w:gridCol w:w="990"/>
        <w:gridCol w:w="1080"/>
        <w:gridCol w:w="1080"/>
        <w:gridCol w:w="1080"/>
        <w:gridCol w:w="1057"/>
      </w:tblGrid>
      <w:tr w:rsidR="0098426C" w:rsidRPr="00062652" w:rsidTr="0098426C">
        <w:tc>
          <w:tcPr>
            <w:tcW w:w="8149" w:type="dxa"/>
            <w:gridSpan w:val="7"/>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8426C" w:rsidRPr="00062652" w:rsidRDefault="0098426C" w:rsidP="00007F95">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 xml:space="preserve">                                                         ENTERING COHORT</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8426C" w:rsidRPr="00062652" w:rsidRDefault="0098426C" w:rsidP="00007F95">
            <w:pPr>
              <w:jc w:val="center"/>
              <w:rPr>
                <w:rFonts w:asciiTheme="majorHAnsi" w:hAnsiTheme="majorHAnsi" w:cs="Times New Roman"/>
                <w:b/>
                <w:iCs/>
                <w:color w:val="000000" w:themeColor="text1"/>
                <w:sz w:val="22"/>
                <w:szCs w:val="22"/>
              </w:rPr>
            </w:pPr>
          </w:p>
        </w:tc>
      </w:tr>
      <w:tr w:rsidR="0098426C" w:rsidRPr="00062652" w:rsidTr="0098426C">
        <w:tc>
          <w:tcPr>
            <w:tcW w:w="274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8426C" w:rsidRPr="00062652" w:rsidRDefault="0098426C" w:rsidP="00E74F0E">
            <w:pPr>
              <w:rPr>
                <w:rFonts w:asciiTheme="majorHAnsi" w:hAnsiTheme="majorHAnsi" w:cs="Times New Roman"/>
                <w:iCs/>
                <w:color w:val="000000" w:themeColor="text1"/>
                <w:sz w:val="22"/>
                <w:szCs w:val="22"/>
              </w:rPr>
            </w:pP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2012</w:t>
            </w:r>
          </w:p>
        </w:tc>
        <w:tc>
          <w:tcPr>
            <w:tcW w:w="108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2013</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2014</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2015</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2016</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8426C" w:rsidRPr="00062652" w:rsidRDefault="0098426C" w:rsidP="00E74F0E">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2017</w:t>
            </w:r>
          </w:p>
        </w:tc>
      </w:tr>
      <w:tr w:rsidR="0098426C" w:rsidRPr="00062652" w:rsidTr="0098426C">
        <w:tc>
          <w:tcPr>
            <w:tcW w:w="274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8426C" w:rsidRPr="00062652" w:rsidRDefault="0098426C" w:rsidP="009F626F">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 xml:space="preserve">First Year </w:t>
            </w:r>
          </w:p>
        </w:tc>
        <w:tc>
          <w:tcPr>
            <w:tcW w:w="11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2198</w:t>
            </w:r>
          </w:p>
        </w:tc>
        <w:tc>
          <w:tcPr>
            <w:tcW w:w="9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2167</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2343</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2167</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2375</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00B04"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2176</w:t>
            </w:r>
          </w:p>
        </w:tc>
      </w:tr>
      <w:tr w:rsidR="0098426C" w:rsidRPr="00062652" w:rsidTr="0098426C">
        <w:tc>
          <w:tcPr>
            <w:tcW w:w="274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8426C" w:rsidRPr="00062652" w:rsidRDefault="0098426C" w:rsidP="009F626F">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 xml:space="preserve">Second Year </w:t>
            </w:r>
          </w:p>
        </w:tc>
        <w:tc>
          <w:tcPr>
            <w:tcW w:w="11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1629</w:t>
            </w:r>
          </w:p>
        </w:tc>
        <w:tc>
          <w:tcPr>
            <w:tcW w:w="9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1572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1695</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1572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1719</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00B04"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1498</w:t>
            </w:r>
          </w:p>
        </w:tc>
      </w:tr>
      <w:tr w:rsidR="0098426C" w:rsidRPr="00062652" w:rsidTr="0098426C">
        <w:tc>
          <w:tcPr>
            <w:tcW w:w="274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8426C" w:rsidRPr="00062652" w:rsidRDefault="0098426C" w:rsidP="009F626F">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 xml:space="preserve">Retention Rate </w:t>
            </w:r>
          </w:p>
        </w:tc>
        <w:tc>
          <w:tcPr>
            <w:tcW w:w="1170"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74.11%</w:t>
            </w:r>
          </w:p>
        </w:tc>
        <w:tc>
          <w:tcPr>
            <w:tcW w:w="99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72.54%</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72.34%</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72.54%</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8426C"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72.38</w:t>
            </w:r>
          </w:p>
        </w:tc>
        <w:tc>
          <w:tcPr>
            <w:tcW w:w="105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8426C" w:rsidRPr="00062652" w:rsidRDefault="00900B04" w:rsidP="00E74F0E">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68.84%</w:t>
            </w:r>
          </w:p>
        </w:tc>
      </w:tr>
    </w:tbl>
    <w:p w:rsidR="00942AD8" w:rsidRDefault="00942AD8" w:rsidP="008B5853">
      <w:pPr>
        <w:rPr>
          <w:rFonts w:asciiTheme="majorHAnsi" w:hAnsiTheme="majorHAnsi" w:cs="Times New Roman"/>
          <w:b/>
          <w:iCs/>
          <w:color w:val="000000" w:themeColor="text1"/>
          <w:sz w:val="22"/>
          <w:szCs w:val="22"/>
        </w:rPr>
      </w:pPr>
    </w:p>
    <w:p w:rsidR="0092666A" w:rsidRDefault="0092666A" w:rsidP="008B5853">
      <w:pPr>
        <w:rPr>
          <w:rFonts w:asciiTheme="majorHAnsi" w:hAnsiTheme="majorHAnsi" w:cs="Times New Roman"/>
          <w:b/>
          <w:iCs/>
          <w:color w:val="000000" w:themeColor="text1"/>
          <w:sz w:val="22"/>
          <w:szCs w:val="22"/>
        </w:rPr>
      </w:pPr>
    </w:p>
    <w:p w:rsidR="0092666A" w:rsidRPr="00062652" w:rsidRDefault="0092666A" w:rsidP="008B5853">
      <w:pPr>
        <w:rPr>
          <w:rFonts w:asciiTheme="majorHAnsi" w:hAnsiTheme="majorHAnsi" w:cs="Times New Roman"/>
          <w:b/>
          <w:iCs/>
          <w:color w:val="000000" w:themeColor="text1"/>
          <w:sz w:val="22"/>
          <w:szCs w:val="22"/>
        </w:rPr>
      </w:pPr>
    </w:p>
    <w:p w:rsidR="008B5853" w:rsidRPr="00062652" w:rsidRDefault="00DE0D49" w:rsidP="008B5853">
      <w:pP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Table 3</w:t>
      </w:r>
      <w:r w:rsidR="008B5853" w:rsidRPr="00062652">
        <w:rPr>
          <w:rFonts w:asciiTheme="majorHAnsi" w:hAnsiTheme="majorHAnsi" w:cs="Times New Roman"/>
          <w:b/>
          <w:iCs/>
          <w:color w:val="000000" w:themeColor="text1"/>
          <w:sz w:val="22"/>
          <w:szCs w:val="22"/>
        </w:rPr>
        <w:t xml:space="preserve">.  Progression (Sophomore to Junior) </w:t>
      </w:r>
    </w:p>
    <w:p w:rsidR="00900B04" w:rsidRPr="00062652" w:rsidRDefault="00900B04" w:rsidP="008B5853">
      <w:pPr>
        <w:rPr>
          <w:rFonts w:asciiTheme="majorHAnsi" w:hAnsiTheme="majorHAnsi" w:cs="Times New Roman"/>
          <w:b/>
          <w:iCs/>
          <w:color w:val="000000" w:themeColor="text1"/>
          <w:sz w:val="22"/>
          <w:szCs w:val="22"/>
        </w:rPr>
      </w:pPr>
    </w:p>
    <w:tbl>
      <w:tblPr>
        <w:tblStyle w:val="TableGrid"/>
        <w:tblW w:w="9409"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759"/>
        <w:gridCol w:w="1080"/>
        <w:gridCol w:w="1080"/>
        <w:gridCol w:w="1080"/>
        <w:gridCol w:w="1043"/>
        <w:gridCol w:w="1122"/>
        <w:gridCol w:w="1051"/>
        <w:gridCol w:w="1194"/>
      </w:tblGrid>
      <w:tr w:rsidR="00900B04" w:rsidRPr="00062652" w:rsidTr="00E553D7">
        <w:tc>
          <w:tcPr>
            <w:tcW w:w="9409" w:type="dxa"/>
            <w:gridSpan w:val="8"/>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ENTERING COHORT</w:t>
            </w:r>
          </w:p>
        </w:tc>
      </w:tr>
      <w:tr w:rsidR="00900B04" w:rsidRPr="00062652" w:rsidTr="00E553D7">
        <w:tc>
          <w:tcPr>
            <w:tcW w:w="1759"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4F81BD"/>
          </w:tcPr>
          <w:p w:rsidR="00900B04" w:rsidRPr="00062652" w:rsidRDefault="00900B04" w:rsidP="00E553D7">
            <w:pPr>
              <w:rPr>
                <w:rFonts w:asciiTheme="majorHAnsi" w:hAnsiTheme="majorHAnsi" w:cs="Times New Roman"/>
                <w:iCs/>
                <w:color w:val="000000" w:themeColor="text1"/>
                <w:sz w:val="22"/>
                <w:szCs w:val="22"/>
              </w:rPr>
            </w:pP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2013</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2014</w:t>
            </w:r>
          </w:p>
        </w:tc>
        <w:tc>
          <w:tcPr>
            <w:tcW w:w="10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2015</w:t>
            </w:r>
          </w:p>
        </w:tc>
        <w:tc>
          <w:tcPr>
            <w:tcW w:w="11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2016</w:t>
            </w:r>
          </w:p>
        </w:tc>
        <w:tc>
          <w:tcPr>
            <w:tcW w:w="10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2017</w:t>
            </w:r>
          </w:p>
        </w:tc>
        <w:tc>
          <w:tcPr>
            <w:tcW w:w="11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8FC1F3"/>
          </w:tcPr>
          <w:p w:rsidR="00900B04" w:rsidRPr="00062652" w:rsidRDefault="00900B04" w:rsidP="00E553D7">
            <w:pPr>
              <w:jc w:val="center"/>
              <w:rPr>
                <w:rFonts w:asciiTheme="majorHAnsi" w:hAnsiTheme="majorHAnsi" w:cs="Times New Roman"/>
                <w:b/>
                <w:iCs/>
                <w:color w:val="000000" w:themeColor="text1"/>
                <w:sz w:val="22"/>
                <w:szCs w:val="22"/>
              </w:rPr>
            </w:pPr>
            <w:r w:rsidRPr="00062652">
              <w:rPr>
                <w:rFonts w:asciiTheme="majorHAnsi" w:hAnsiTheme="majorHAnsi" w:cs="Times New Roman"/>
                <w:b/>
                <w:iCs/>
                <w:color w:val="000000" w:themeColor="text1"/>
                <w:sz w:val="22"/>
                <w:szCs w:val="22"/>
              </w:rPr>
              <w:t>Fall 2018</w:t>
            </w:r>
          </w:p>
        </w:tc>
      </w:tr>
      <w:tr w:rsidR="00900B04" w:rsidRPr="00062652" w:rsidTr="00E553D7">
        <w:tc>
          <w:tcPr>
            <w:tcW w:w="175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00B04" w:rsidRPr="00062652" w:rsidRDefault="00900B04" w:rsidP="00E553D7">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First Year</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2198</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2167</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2198</w:t>
            </w:r>
          </w:p>
        </w:tc>
        <w:tc>
          <w:tcPr>
            <w:tcW w:w="10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2343</w:t>
            </w:r>
          </w:p>
        </w:tc>
        <w:tc>
          <w:tcPr>
            <w:tcW w:w="11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2375</w:t>
            </w:r>
          </w:p>
        </w:tc>
        <w:tc>
          <w:tcPr>
            <w:tcW w:w="10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2176</w:t>
            </w:r>
          </w:p>
        </w:tc>
        <w:tc>
          <w:tcPr>
            <w:tcW w:w="11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2182</w:t>
            </w:r>
          </w:p>
        </w:tc>
      </w:tr>
      <w:tr w:rsidR="00900B04" w:rsidRPr="00062652" w:rsidTr="00E553D7">
        <w:tc>
          <w:tcPr>
            <w:tcW w:w="175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00B04" w:rsidRPr="00062652" w:rsidRDefault="00900B04" w:rsidP="00E553D7">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 xml:space="preserve">Second Year </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1629</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1572</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1629</w:t>
            </w:r>
          </w:p>
        </w:tc>
        <w:tc>
          <w:tcPr>
            <w:tcW w:w="10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1695</w:t>
            </w:r>
          </w:p>
        </w:tc>
        <w:tc>
          <w:tcPr>
            <w:tcW w:w="11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1719</w:t>
            </w:r>
          </w:p>
        </w:tc>
        <w:tc>
          <w:tcPr>
            <w:tcW w:w="10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1498</w:t>
            </w:r>
          </w:p>
        </w:tc>
        <w:tc>
          <w:tcPr>
            <w:tcW w:w="11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XXXX</w:t>
            </w:r>
          </w:p>
        </w:tc>
      </w:tr>
      <w:tr w:rsidR="00900B04" w:rsidRPr="00062652" w:rsidTr="00E553D7">
        <w:tc>
          <w:tcPr>
            <w:tcW w:w="175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00B04" w:rsidRPr="00062652" w:rsidRDefault="00900B04" w:rsidP="00E553D7">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 xml:space="preserve">Third Year </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1300</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1255</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1300</w:t>
            </w:r>
          </w:p>
        </w:tc>
        <w:tc>
          <w:tcPr>
            <w:tcW w:w="10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1268</w:t>
            </w:r>
          </w:p>
        </w:tc>
        <w:tc>
          <w:tcPr>
            <w:tcW w:w="11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1359</w:t>
            </w:r>
          </w:p>
        </w:tc>
        <w:tc>
          <w:tcPr>
            <w:tcW w:w="10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XXXX</w:t>
            </w:r>
          </w:p>
        </w:tc>
        <w:tc>
          <w:tcPr>
            <w:tcW w:w="11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p>
        </w:tc>
      </w:tr>
      <w:tr w:rsidR="00900B04" w:rsidRPr="00062652" w:rsidTr="00E553D7">
        <w:tc>
          <w:tcPr>
            <w:tcW w:w="1759" w:type="dxa"/>
            <w:tcBorders>
              <w:top w:val="single" w:sz="18" w:space="0" w:color="FFFFFF" w:themeColor="background1"/>
              <w:left w:val="single" w:sz="18" w:space="0" w:color="FFFFFF" w:themeColor="background1"/>
              <w:bottom w:val="nil"/>
              <w:right w:val="single" w:sz="18" w:space="0" w:color="FFFFFF" w:themeColor="background1"/>
            </w:tcBorders>
            <w:shd w:val="clear" w:color="auto" w:fill="D9D9D9"/>
          </w:tcPr>
          <w:p w:rsidR="00900B04" w:rsidRPr="00062652" w:rsidRDefault="00900B04" w:rsidP="00E553D7">
            <w:pPr>
              <w:jc w:val="right"/>
              <w:rPr>
                <w:rFonts w:asciiTheme="majorHAnsi" w:hAnsiTheme="majorHAnsi" w:cs="Times New Roman"/>
                <w:iCs/>
                <w:color w:val="000000" w:themeColor="text1"/>
                <w:sz w:val="22"/>
                <w:szCs w:val="22"/>
              </w:rPr>
            </w:pPr>
            <w:r w:rsidRPr="00062652">
              <w:rPr>
                <w:rFonts w:asciiTheme="majorHAnsi" w:hAnsiTheme="majorHAnsi" w:cs="Times New Roman"/>
                <w:b/>
                <w:iCs/>
                <w:color w:val="000000" w:themeColor="text1"/>
                <w:sz w:val="22"/>
                <w:szCs w:val="22"/>
              </w:rPr>
              <w:t xml:space="preserve">Progression Rate </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59.14%</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57.91%</w:t>
            </w:r>
          </w:p>
        </w:tc>
        <w:tc>
          <w:tcPr>
            <w:tcW w:w="1080"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59.14%</w:t>
            </w:r>
          </w:p>
        </w:tc>
        <w:tc>
          <w:tcPr>
            <w:tcW w:w="1043"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54.12%</w:t>
            </w:r>
          </w:p>
        </w:tc>
        <w:tc>
          <w:tcPr>
            <w:tcW w:w="1122"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r w:rsidRPr="00062652">
              <w:rPr>
                <w:rFonts w:asciiTheme="majorHAnsi" w:hAnsiTheme="majorHAnsi" w:cs="Times New Roman"/>
                <w:iCs/>
                <w:color w:val="000000" w:themeColor="text1"/>
                <w:sz w:val="22"/>
                <w:szCs w:val="22"/>
              </w:rPr>
              <w:t>57.22%</w:t>
            </w:r>
          </w:p>
        </w:tc>
        <w:tc>
          <w:tcPr>
            <w:tcW w:w="1051"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p>
        </w:tc>
        <w:tc>
          <w:tcPr>
            <w:tcW w:w="11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cPr>
          <w:p w:rsidR="00900B04" w:rsidRPr="00062652" w:rsidRDefault="00900B04" w:rsidP="00E553D7">
            <w:pPr>
              <w:jc w:val="center"/>
              <w:rPr>
                <w:rFonts w:asciiTheme="majorHAnsi" w:hAnsiTheme="majorHAnsi" w:cs="Times New Roman"/>
                <w:iCs/>
                <w:color w:val="000000" w:themeColor="text1"/>
                <w:sz w:val="22"/>
                <w:szCs w:val="22"/>
              </w:rPr>
            </w:pPr>
          </w:p>
        </w:tc>
      </w:tr>
    </w:tbl>
    <w:p w:rsidR="00900B04" w:rsidRPr="00062652" w:rsidRDefault="00900B04" w:rsidP="008B5853">
      <w:pPr>
        <w:rPr>
          <w:rFonts w:asciiTheme="majorHAnsi" w:hAnsiTheme="majorHAnsi" w:cs="Times New Roman"/>
          <w:b/>
          <w:iCs/>
          <w:color w:val="000000" w:themeColor="text1"/>
          <w:sz w:val="22"/>
          <w:szCs w:val="22"/>
        </w:rPr>
      </w:pPr>
    </w:p>
    <w:p w:rsidR="00B02F9C" w:rsidRDefault="00B02F9C" w:rsidP="003D5D99">
      <w:pPr>
        <w:rPr>
          <w:rFonts w:asciiTheme="majorHAnsi" w:hAnsiTheme="majorHAnsi" w:cs="Times New Roman"/>
          <w:b/>
          <w:iCs/>
          <w:color w:val="000000" w:themeColor="text1"/>
          <w:sz w:val="22"/>
          <w:szCs w:val="22"/>
        </w:rPr>
      </w:pPr>
    </w:p>
    <w:p w:rsidR="00904093" w:rsidRDefault="00904093" w:rsidP="003D5D99">
      <w:pPr>
        <w:rPr>
          <w:rFonts w:asciiTheme="majorHAnsi" w:hAnsiTheme="majorHAnsi" w:cs="Times New Roman"/>
          <w:b/>
          <w:iCs/>
          <w:color w:val="000000" w:themeColor="text1"/>
          <w:sz w:val="22"/>
          <w:szCs w:val="22"/>
        </w:rPr>
      </w:pPr>
    </w:p>
    <w:p w:rsidR="00904093" w:rsidRPr="00062652" w:rsidRDefault="00904093" w:rsidP="003D5D99">
      <w:pPr>
        <w:rPr>
          <w:rFonts w:asciiTheme="majorHAnsi" w:hAnsiTheme="majorHAnsi" w:cs="Times New Roman"/>
          <w:b/>
          <w:iCs/>
          <w:color w:val="000000" w:themeColor="text1"/>
          <w:sz w:val="22"/>
          <w:szCs w:val="22"/>
        </w:rPr>
      </w:pPr>
    </w:p>
    <w:tbl>
      <w:tblPr>
        <w:tblW w:w="15160" w:type="dxa"/>
        <w:tblLayout w:type="fixed"/>
        <w:tblLook w:val="04A0" w:firstRow="1" w:lastRow="0" w:firstColumn="1" w:lastColumn="0" w:noHBand="0" w:noVBand="1"/>
      </w:tblPr>
      <w:tblGrid>
        <w:gridCol w:w="14216"/>
        <w:gridCol w:w="236"/>
        <w:gridCol w:w="236"/>
        <w:gridCol w:w="236"/>
        <w:gridCol w:w="236"/>
      </w:tblGrid>
      <w:tr w:rsidR="00593CD6" w:rsidRPr="00062652" w:rsidTr="00DA329C">
        <w:trPr>
          <w:trHeight w:val="255"/>
        </w:trPr>
        <w:tc>
          <w:tcPr>
            <w:tcW w:w="14216" w:type="dxa"/>
            <w:tcBorders>
              <w:top w:val="nil"/>
              <w:left w:val="nil"/>
              <w:bottom w:val="nil"/>
              <w:right w:val="nil"/>
            </w:tcBorders>
            <w:shd w:val="clear" w:color="auto" w:fill="auto"/>
            <w:noWrap/>
            <w:vAlign w:val="bottom"/>
          </w:tcPr>
          <w:p w:rsidR="00593CD6" w:rsidRDefault="00DE0D49" w:rsidP="00DA329C">
            <w:pPr>
              <w:rPr>
                <w:rFonts w:ascii="Arial" w:eastAsia="Times New Roman" w:hAnsi="Arial" w:cs="Arial"/>
                <w:i/>
                <w:iCs/>
                <w:sz w:val="18"/>
                <w:szCs w:val="18"/>
              </w:rPr>
            </w:pPr>
            <w:r w:rsidRPr="00062652">
              <w:rPr>
                <w:rFonts w:asciiTheme="majorHAnsi" w:hAnsiTheme="majorHAnsi" w:cs="Times New Roman"/>
                <w:b/>
                <w:iCs/>
                <w:color w:val="000000" w:themeColor="text1"/>
                <w:sz w:val="22"/>
                <w:szCs w:val="22"/>
              </w:rPr>
              <w:t xml:space="preserve">Table 4. </w:t>
            </w:r>
            <w:r w:rsidR="00AB2892" w:rsidRPr="00062652">
              <w:rPr>
                <w:rFonts w:asciiTheme="majorHAnsi" w:hAnsiTheme="majorHAnsi" w:cs="Times New Roman"/>
                <w:b/>
                <w:iCs/>
                <w:color w:val="000000" w:themeColor="text1"/>
                <w:sz w:val="22"/>
                <w:szCs w:val="22"/>
              </w:rPr>
              <w:t>Retention, Progression, and Graduation Rates</w:t>
            </w:r>
            <w:r w:rsidR="00D71199" w:rsidRPr="00062652">
              <w:rPr>
                <w:rFonts w:asciiTheme="majorHAnsi" w:hAnsiTheme="majorHAnsi" w:cs="Times New Roman"/>
                <w:b/>
                <w:iCs/>
                <w:color w:val="000000" w:themeColor="text1"/>
                <w:sz w:val="22"/>
                <w:szCs w:val="22"/>
              </w:rPr>
              <w:t xml:space="preserve"> (w</w:t>
            </w:r>
            <w:r w:rsidR="00C53CE8" w:rsidRPr="00062652">
              <w:rPr>
                <w:rFonts w:asciiTheme="majorHAnsi" w:hAnsiTheme="majorHAnsi" w:cs="Times New Roman"/>
                <w:b/>
                <w:iCs/>
                <w:color w:val="000000" w:themeColor="text1"/>
                <w:sz w:val="22"/>
                <w:szCs w:val="22"/>
              </w:rPr>
              <w:t>ith Mean SAT Scores and HSGPA)</w:t>
            </w:r>
            <w:r w:rsidR="00DA329C" w:rsidRPr="00062652">
              <w:rPr>
                <w:rFonts w:ascii="Arial" w:eastAsia="Times New Roman" w:hAnsi="Arial" w:cs="Arial"/>
                <w:i/>
                <w:iCs/>
                <w:sz w:val="18"/>
                <w:szCs w:val="18"/>
              </w:rPr>
              <w:t xml:space="preserve"> </w:t>
            </w:r>
          </w:p>
          <w:p w:rsidR="00DA329C" w:rsidRPr="00062652" w:rsidRDefault="00DA329C" w:rsidP="00DA329C">
            <w:pPr>
              <w:rPr>
                <w:rFonts w:ascii="Arial" w:eastAsia="Times New Roman" w:hAnsi="Arial" w:cs="Arial"/>
                <w:i/>
                <w:iCs/>
                <w:sz w:val="18"/>
                <w:szCs w:val="18"/>
              </w:rPr>
            </w:pPr>
          </w:p>
        </w:tc>
        <w:tc>
          <w:tcPr>
            <w:tcW w:w="236" w:type="dxa"/>
            <w:tcBorders>
              <w:top w:val="nil"/>
              <w:left w:val="nil"/>
              <w:bottom w:val="nil"/>
              <w:right w:val="nil"/>
            </w:tcBorders>
            <w:shd w:val="clear" w:color="auto" w:fill="auto"/>
            <w:noWrap/>
            <w:vAlign w:val="bottom"/>
          </w:tcPr>
          <w:p w:rsidR="00593CD6" w:rsidRPr="00062652" w:rsidRDefault="00593CD6" w:rsidP="00593CD6">
            <w:pPr>
              <w:rPr>
                <w:rFonts w:ascii="Arial" w:eastAsia="Times New Roman" w:hAnsi="Arial" w:cs="Arial"/>
                <w:i/>
                <w:iCs/>
                <w:sz w:val="18"/>
                <w:szCs w:val="18"/>
              </w:rPr>
            </w:pPr>
          </w:p>
        </w:tc>
        <w:tc>
          <w:tcPr>
            <w:tcW w:w="236" w:type="dxa"/>
            <w:tcBorders>
              <w:top w:val="nil"/>
              <w:left w:val="nil"/>
              <w:bottom w:val="nil"/>
              <w:right w:val="nil"/>
            </w:tcBorders>
            <w:shd w:val="clear" w:color="auto" w:fill="auto"/>
            <w:noWrap/>
            <w:vAlign w:val="bottom"/>
          </w:tcPr>
          <w:p w:rsidR="00593CD6" w:rsidRPr="00062652" w:rsidRDefault="00593CD6" w:rsidP="00593CD6">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593CD6" w:rsidRPr="00062652" w:rsidRDefault="00593CD6" w:rsidP="00593CD6">
            <w:pPr>
              <w:rPr>
                <w:rFonts w:ascii="Times New Roman" w:eastAsia="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593CD6" w:rsidRPr="00062652" w:rsidRDefault="00593CD6" w:rsidP="00593CD6">
            <w:pPr>
              <w:rPr>
                <w:rFonts w:ascii="Times New Roman" w:eastAsia="Times New Roman" w:hAnsi="Times New Roman" w:cs="Times New Roman"/>
                <w:sz w:val="20"/>
                <w:szCs w:val="20"/>
              </w:rPr>
            </w:pPr>
          </w:p>
        </w:tc>
      </w:tr>
    </w:tbl>
    <w:p w:rsidR="00B555EE" w:rsidRDefault="006E24C9" w:rsidP="003D5D99">
      <w:pPr>
        <w:rPr>
          <w:rFonts w:asciiTheme="majorHAnsi" w:hAnsiTheme="majorHAnsi" w:cs="Times New Roman"/>
          <w:b/>
          <w:sz w:val="22"/>
          <w:szCs w:val="22"/>
        </w:rPr>
      </w:pPr>
      <w:r w:rsidRPr="00062652">
        <w:rPr>
          <w:noProof/>
        </w:rPr>
        <w:drawing>
          <wp:inline distT="0" distB="0" distL="0" distR="0">
            <wp:extent cx="5943600" cy="389931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899319"/>
                    </a:xfrm>
                    <a:prstGeom prst="rect">
                      <a:avLst/>
                    </a:prstGeom>
                    <a:noFill/>
                    <a:ln>
                      <a:noFill/>
                    </a:ln>
                  </pic:spPr>
                </pic:pic>
              </a:graphicData>
            </a:graphic>
          </wp:inline>
        </w:drawing>
      </w:r>
    </w:p>
    <w:p w:rsidR="00B555EE" w:rsidRDefault="00B555EE" w:rsidP="003D5D99">
      <w:pPr>
        <w:rPr>
          <w:rFonts w:asciiTheme="majorHAnsi" w:hAnsiTheme="majorHAnsi" w:cs="Times New Roman"/>
          <w:b/>
          <w:sz w:val="22"/>
          <w:szCs w:val="22"/>
        </w:rPr>
      </w:pPr>
    </w:p>
    <w:p w:rsidR="00B555EE" w:rsidRDefault="00B555EE" w:rsidP="003D5D99">
      <w:pPr>
        <w:rPr>
          <w:rFonts w:asciiTheme="majorHAnsi" w:hAnsiTheme="majorHAnsi" w:cs="Times New Roman"/>
          <w:b/>
          <w:sz w:val="22"/>
          <w:szCs w:val="22"/>
        </w:rPr>
      </w:pPr>
    </w:p>
    <w:p w:rsidR="00B555EE" w:rsidRPr="00867132" w:rsidRDefault="00B555EE" w:rsidP="003D5D99">
      <w:pPr>
        <w:rPr>
          <w:rFonts w:asciiTheme="majorHAnsi" w:hAnsiTheme="majorHAnsi" w:cs="Times New Roman"/>
          <w:b/>
          <w:sz w:val="22"/>
          <w:szCs w:val="22"/>
        </w:rPr>
      </w:pPr>
    </w:p>
    <w:sectPr w:rsidR="00B555EE" w:rsidRPr="00867132" w:rsidSect="0020623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7CC" w:rsidRDefault="006D37CC" w:rsidP="00B469BD">
      <w:r>
        <w:separator/>
      </w:r>
    </w:p>
  </w:endnote>
  <w:endnote w:type="continuationSeparator" w:id="0">
    <w:p w:rsidR="006D37CC" w:rsidRDefault="006D37CC" w:rsidP="00B4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D7" w:rsidRDefault="00E553D7" w:rsidP="00B469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53D7" w:rsidRDefault="00E553D7" w:rsidP="00B469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D7" w:rsidRDefault="00E553D7" w:rsidP="00B469B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D7" w:rsidRDefault="00E553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7CC" w:rsidRDefault="006D37CC" w:rsidP="00B469BD">
      <w:r>
        <w:separator/>
      </w:r>
    </w:p>
  </w:footnote>
  <w:footnote w:type="continuationSeparator" w:id="0">
    <w:p w:rsidR="006D37CC" w:rsidRDefault="006D37CC" w:rsidP="00B46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D7" w:rsidRDefault="00E553D7" w:rsidP="00007F95">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53D7" w:rsidRDefault="00E553D7" w:rsidP="009F41BA">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E553D7" w:rsidRDefault="00E553D7" w:rsidP="009F41B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D7" w:rsidRPr="009F41BA" w:rsidRDefault="00E553D7" w:rsidP="00007F95">
    <w:pPr>
      <w:pStyle w:val="Header"/>
      <w:framePr w:wrap="none" w:vAnchor="text" w:hAnchor="margin" w:xAlign="right" w:y="1"/>
      <w:rPr>
        <w:rStyle w:val="PageNumber"/>
        <w:sz w:val="20"/>
        <w:szCs w:val="20"/>
      </w:rPr>
    </w:pPr>
    <w:r w:rsidRPr="009F41BA">
      <w:rPr>
        <w:rStyle w:val="PageNumber"/>
        <w:sz w:val="20"/>
        <w:szCs w:val="20"/>
      </w:rPr>
      <w:fldChar w:fldCharType="begin"/>
    </w:r>
    <w:r w:rsidRPr="009F41BA">
      <w:rPr>
        <w:rStyle w:val="PageNumber"/>
        <w:sz w:val="20"/>
        <w:szCs w:val="20"/>
      </w:rPr>
      <w:instrText xml:space="preserve">PAGE  </w:instrText>
    </w:r>
    <w:r w:rsidRPr="009F41BA">
      <w:rPr>
        <w:rStyle w:val="PageNumber"/>
        <w:sz w:val="20"/>
        <w:szCs w:val="20"/>
      </w:rPr>
      <w:fldChar w:fldCharType="separate"/>
    </w:r>
    <w:r w:rsidR="001C668F">
      <w:rPr>
        <w:rStyle w:val="PageNumber"/>
        <w:noProof/>
        <w:sz w:val="20"/>
        <w:szCs w:val="20"/>
      </w:rPr>
      <w:t>2</w:t>
    </w:r>
    <w:r w:rsidRPr="009F41BA">
      <w:rPr>
        <w:rStyle w:val="PageNumber"/>
        <w:sz w:val="20"/>
        <w:szCs w:val="20"/>
      </w:rPr>
      <w:fldChar w:fldCharType="end"/>
    </w:r>
  </w:p>
  <w:p w:rsidR="00E553D7" w:rsidRPr="009F41BA" w:rsidRDefault="00E553D7" w:rsidP="009F41BA">
    <w:pPr>
      <w:pStyle w:val="Header"/>
      <w:ind w:right="360"/>
      <w:rPr>
        <w:rFonts w:asciiTheme="majorHAnsi" w:hAnsiTheme="majorHAnsi"/>
        <w:sz w:val="20"/>
        <w:szCs w:val="20"/>
      </w:rPr>
    </w:pPr>
    <w:r>
      <w:rPr>
        <w:rFonts w:asciiTheme="majorHAnsi" w:hAnsiTheme="majorHAnsi"/>
        <w:sz w:val="20"/>
        <w:szCs w:val="20"/>
      </w:rPr>
      <w:t xml:space="preserve">University of West Georgia </w:t>
    </w:r>
    <w:r w:rsidRPr="009F41BA">
      <w:rPr>
        <w:rFonts w:asciiTheme="majorHAnsi" w:hAnsiTheme="majorHAnsi"/>
        <w:sz w:val="20"/>
        <w:szCs w:val="20"/>
      </w:rPr>
      <w:t>CCG Campus Plan Update</w:t>
    </w:r>
  </w:p>
  <w:p w:rsidR="00E553D7" w:rsidRPr="009F41BA" w:rsidRDefault="00E553D7">
    <w:pPr>
      <w:pStyle w:val="Header"/>
      <w:rPr>
        <w:rFonts w:asciiTheme="majorHAnsi" w:hAnsiTheme="majorHAnsi"/>
        <w:sz w:val="20"/>
        <w:szCs w:val="20"/>
      </w:rPr>
    </w:pPr>
    <w:r>
      <w:rPr>
        <w:rFonts w:asciiTheme="majorHAnsi" w:hAnsiTheme="majorHAnsi"/>
        <w:sz w:val="20"/>
        <w:szCs w:val="20"/>
      </w:rPr>
      <w:t>October 11, 2019</w:t>
    </w:r>
  </w:p>
  <w:p w:rsidR="00E553D7" w:rsidRPr="009F41BA" w:rsidRDefault="00E553D7" w:rsidP="009F41BA">
    <w:pPr>
      <w:pStyle w:val="Header"/>
      <w:ind w:right="360"/>
      <w:rPr>
        <w:rFonts w:asciiTheme="majorHAnsi" w:hAnsiTheme="majorHAns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53D7" w:rsidRDefault="00E553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56A1"/>
    <w:multiLevelType w:val="hybridMultilevel"/>
    <w:tmpl w:val="009CDD2C"/>
    <w:lvl w:ilvl="0" w:tplc="976A3F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97FC5"/>
    <w:multiLevelType w:val="hybridMultilevel"/>
    <w:tmpl w:val="0A2E05BC"/>
    <w:lvl w:ilvl="0" w:tplc="0409000F">
      <w:start w:val="1"/>
      <w:numFmt w:val="decimal"/>
      <w:lvlText w:val="%1."/>
      <w:lvlJc w:val="left"/>
      <w:pPr>
        <w:ind w:left="504"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44541"/>
    <w:multiLevelType w:val="hybridMultilevel"/>
    <w:tmpl w:val="57387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9704E9"/>
    <w:multiLevelType w:val="hybridMultilevel"/>
    <w:tmpl w:val="0EAE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46F08"/>
    <w:multiLevelType w:val="hybridMultilevel"/>
    <w:tmpl w:val="9CBC5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264B0"/>
    <w:multiLevelType w:val="hybridMultilevel"/>
    <w:tmpl w:val="D664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109EF"/>
    <w:multiLevelType w:val="hybridMultilevel"/>
    <w:tmpl w:val="878C6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8507B"/>
    <w:multiLevelType w:val="hybridMultilevel"/>
    <w:tmpl w:val="AEE6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45DDE"/>
    <w:multiLevelType w:val="hybridMultilevel"/>
    <w:tmpl w:val="97BEDAA0"/>
    <w:lvl w:ilvl="0" w:tplc="976A3F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104CE"/>
    <w:multiLevelType w:val="hybridMultilevel"/>
    <w:tmpl w:val="0F128058"/>
    <w:lvl w:ilvl="0" w:tplc="DF3C7FD4">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C51DD"/>
    <w:multiLevelType w:val="hybridMultilevel"/>
    <w:tmpl w:val="B56C6648"/>
    <w:lvl w:ilvl="0" w:tplc="79D66F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531D2"/>
    <w:multiLevelType w:val="hybridMultilevel"/>
    <w:tmpl w:val="06B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E2F75"/>
    <w:multiLevelType w:val="hybridMultilevel"/>
    <w:tmpl w:val="6A26C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36DDA"/>
    <w:multiLevelType w:val="hybridMultilevel"/>
    <w:tmpl w:val="8BD85EA2"/>
    <w:lvl w:ilvl="0" w:tplc="DF3C7FD4">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87A0FEF"/>
    <w:multiLevelType w:val="hybridMultilevel"/>
    <w:tmpl w:val="E9B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92E4E"/>
    <w:multiLevelType w:val="hybridMultilevel"/>
    <w:tmpl w:val="42A88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2E473C"/>
    <w:multiLevelType w:val="hybridMultilevel"/>
    <w:tmpl w:val="10A87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D5D24"/>
    <w:multiLevelType w:val="hybridMultilevel"/>
    <w:tmpl w:val="ECD6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B7A8F"/>
    <w:multiLevelType w:val="hybridMultilevel"/>
    <w:tmpl w:val="14742000"/>
    <w:lvl w:ilvl="0" w:tplc="976A3F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ED043F"/>
    <w:multiLevelType w:val="hybridMultilevel"/>
    <w:tmpl w:val="109A6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D47E3"/>
    <w:multiLevelType w:val="hybridMultilevel"/>
    <w:tmpl w:val="25A0B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6FE48E6"/>
    <w:multiLevelType w:val="hybridMultilevel"/>
    <w:tmpl w:val="DB1691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7793F16"/>
    <w:multiLevelType w:val="hybridMultilevel"/>
    <w:tmpl w:val="C004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538F4"/>
    <w:multiLevelType w:val="hybridMultilevel"/>
    <w:tmpl w:val="545C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C4D1E"/>
    <w:multiLevelType w:val="hybridMultilevel"/>
    <w:tmpl w:val="9384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704CD"/>
    <w:multiLevelType w:val="hybridMultilevel"/>
    <w:tmpl w:val="B914B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54A6D"/>
    <w:multiLevelType w:val="hybridMultilevel"/>
    <w:tmpl w:val="F1B2C2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0BE4ABE"/>
    <w:multiLevelType w:val="hybridMultilevel"/>
    <w:tmpl w:val="5DC0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E94DA6"/>
    <w:multiLevelType w:val="hybridMultilevel"/>
    <w:tmpl w:val="FFCA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0087F"/>
    <w:multiLevelType w:val="hybridMultilevel"/>
    <w:tmpl w:val="C208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5C3F91"/>
    <w:multiLevelType w:val="hybridMultilevel"/>
    <w:tmpl w:val="AAD05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1305BC"/>
    <w:multiLevelType w:val="hybridMultilevel"/>
    <w:tmpl w:val="7542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69654B"/>
    <w:multiLevelType w:val="hybridMultilevel"/>
    <w:tmpl w:val="5540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D289E"/>
    <w:multiLevelType w:val="hybridMultilevel"/>
    <w:tmpl w:val="0EB20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C00D97"/>
    <w:multiLevelType w:val="hybridMultilevel"/>
    <w:tmpl w:val="064AB3AA"/>
    <w:lvl w:ilvl="0" w:tplc="DF3C7FD4">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C221B3"/>
    <w:multiLevelType w:val="hybridMultilevel"/>
    <w:tmpl w:val="04B28F96"/>
    <w:lvl w:ilvl="0" w:tplc="976A3FC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0E39B2"/>
    <w:multiLevelType w:val="hybridMultilevel"/>
    <w:tmpl w:val="2AC0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240C65"/>
    <w:multiLevelType w:val="hybridMultilevel"/>
    <w:tmpl w:val="5636B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B245CA"/>
    <w:multiLevelType w:val="hybridMultilevel"/>
    <w:tmpl w:val="0F00F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10428F9"/>
    <w:multiLevelType w:val="hybridMultilevel"/>
    <w:tmpl w:val="214489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F91DB7"/>
    <w:multiLevelType w:val="hybridMultilevel"/>
    <w:tmpl w:val="60BA30B8"/>
    <w:lvl w:ilvl="0" w:tplc="CA5CE51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41" w15:restartNumberingAfterBreak="0">
    <w:nsid w:val="641C4FE1"/>
    <w:multiLevelType w:val="hybridMultilevel"/>
    <w:tmpl w:val="6530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E281C"/>
    <w:multiLevelType w:val="hybridMultilevel"/>
    <w:tmpl w:val="876CCB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8B30A6"/>
    <w:multiLevelType w:val="hybridMultilevel"/>
    <w:tmpl w:val="32AC5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935766"/>
    <w:multiLevelType w:val="hybridMultilevel"/>
    <w:tmpl w:val="6CA688EE"/>
    <w:lvl w:ilvl="0" w:tplc="DF3C7FD4">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5" w15:restartNumberingAfterBreak="0">
    <w:nsid w:val="7D2559C9"/>
    <w:multiLevelType w:val="hybridMultilevel"/>
    <w:tmpl w:val="FA308A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91966"/>
    <w:multiLevelType w:val="hybridMultilevel"/>
    <w:tmpl w:val="12F80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1"/>
  </w:num>
  <w:num w:numId="3">
    <w:abstractNumId w:val="1"/>
  </w:num>
  <w:num w:numId="4">
    <w:abstractNumId w:val="10"/>
  </w:num>
  <w:num w:numId="5">
    <w:abstractNumId w:val="40"/>
  </w:num>
  <w:num w:numId="6">
    <w:abstractNumId w:val="2"/>
  </w:num>
  <w:num w:numId="7">
    <w:abstractNumId w:val="39"/>
  </w:num>
  <w:num w:numId="8">
    <w:abstractNumId w:val="45"/>
  </w:num>
  <w:num w:numId="9">
    <w:abstractNumId w:val="42"/>
  </w:num>
  <w:num w:numId="10">
    <w:abstractNumId w:val="33"/>
  </w:num>
  <w:num w:numId="11">
    <w:abstractNumId w:val="20"/>
  </w:num>
  <w:num w:numId="12">
    <w:abstractNumId w:val="19"/>
  </w:num>
  <w:num w:numId="13">
    <w:abstractNumId w:val="11"/>
  </w:num>
  <w:num w:numId="14">
    <w:abstractNumId w:val="46"/>
  </w:num>
  <w:num w:numId="15">
    <w:abstractNumId w:val="27"/>
  </w:num>
  <w:num w:numId="16">
    <w:abstractNumId w:val="41"/>
  </w:num>
  <w:num w:numId="17">
    <w:abstractNumId w:val="24"/>
  </w:num>
  <w:num w:numId="18">
    <w:abstractNumId w:val="17"/>
  </w:num>
  <w:num w:numId="19">
    <w:abstractNumId w:val="22"/>
  </w:num>
  <w:num w:numId="20">
    <w:abstractNumId w:val="15"/>
  </w:num>
  <w:num w:numId="21">
    <w:abstractNumId w:val="12"/>
  </w:num>
  <w:num w:numId="22">
    <w:abstractNumId w:val="36"/>
  </w:num>
  <w:num w:numId="23">
    <w:abstractNumId w:val="30"/>
  </w:num>
  <w:num w:numId="24">
    <w:abstractNumId w:val="16"/>
  </w:num>
  <w:num w:numId="25">
    <w:abstractNumId w:val="32"/>
  </w:num>
  <w:num w:numId="26">
    <w:abstractNumId w:val="0"/>
  </w:num>
  <w:num w:numId="27">
    <w:abstractNumId w:val="8"/>
  </w:num>
  <w:num w:numId="28">
    <w:abstractNumId w:val="28"/>
  </w:num>
  <w:num w:numId="29">
    <w:abstractNumId w:val="35"/>
  </w:num>
  <w:num w:numId="30">
    <w:abstractNumId w:val="18"/>
  </w:num>
  <w:num w:numId="31">
    <w:abstractNumId w:val="6"/>
  </w:num>
  <w:num w:numId="32">
    <w:abstractNumId w:val="37"/>
  </w:num>
  <w:num w:numId="33">
    <w:abstractNumId w:val="3"/>
  </w:num>
  <w:num w:numId="34">
    <w:abstractNumId w:val="31"/>
  </w:num>
  <w:num w:numId="35">
    <w:abstractNumId w:val="7"/>
  </w:num>
  <w:num w:numId="36">
    <w:abstractNumId w:val="13"/>
  </w:num>
  <w:num w:numId="37">
    <w:abstractNumId w:val="34"/>
  </w:num>
  <w:num w:numId="38">
    <w:abstractNumId w:val="44"/>
  </w:num>
  <w:num w:numId="39">
    <w:abstractNumId w:val="9"/>
  </w:num>
  <w:num w:numId="40">
    <w:abstractNumId w:val="25"/>
  </w:num>
  <w:num w:numId="41">
    <w:abstractNumId w:val="4"/>
  </w:num>
  <w:num w:numId="42">
    <w:abstractNumId w:val="14"/>
  </w:num>
  <w:num w:numId="43">
    <w:abstractNumId w:val="23"/>
  </w:num>
  <w:num w:numId="44">
    <w:abstractNumId w:val="38"/>
  </w:num>
  <w:num w:numId="45">
    <w:abstractNumId w:val="29"/>
  </w:num>
  <w:num w:numId="46">
    <w:abstractNumId w:val="26"/>
  </w:num>
  <w:num w:numId="47">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06"/>
    <w:rsid w:val="00001EDC"/>
    <w:rsid w:val="00003779"/>
    <w:rsid w:val="00003839"/>
    <w:rsid w:val="00007C29"/>
    <w:rsid w:val="00007F95"/>
    <w:rsid w:val="0001740F"/>
    <w:rsid w:val="000208E1"/>
    <w:rsid w:val="00021729"/>
    <w:rsid w:val="00023C59"/>
    <w:rsid w:val="000243E0"/>
    <w:rsid w:val="00031AE3"/>
    <w:rsid w:val="00040440"/>
    <w:rsid w:val="00040EA2"/>
    <w:rsid w:val="000468B6"/>
    <w:rsid w:val="00050EC4"/>
    <w:rsid w:val="00055365"/>
    <w:rsid w:val="00055686"/>
    <w:rsid w:val="000556A3"/>
    <w:rsid w:val="00057D83"/>
    <w:rsid w:val="000609F8"/>
    <w:rsid w:val="00060AD6"/>
    <w:rsid w:val="00061CAA"/>
    <w:rsid w:val="00062652"/>
    <w:rsid w:val="00064BF9"/>
    <w:rsid w:val="00064EDA"/>
    <w:rsid w:val="000717F7"/>
    <w:rsid w:val="000717FE"/>
    <w:rsid w:val="000720DF"/>
    <w:rsid w:val="00074D3E"/>
    <w:rsid w:val="00083B93"/>
    <w:rsid w:val="0008788D"/>
    <w:rsid w:val="00092BF3"/>
    <w:rsid w:val="000935FB"/>
    <w:rsid w:val="000A6332"/>
    <w:rsid w:val="000A6FB5"/>
    <w:rsid w:val="000A7037"/>
    <w:rsid w:val="000B566F"/>
    <w:rsid w:val="000B79A3"/>
    <w:rsid w:val="000C130F"/>
    <w:rsid w:val="000D01AD"/>
    <w:rsid w:val="000D1A9F"/>
    <w:rsid w:val="000D5C60"/>
    <w:rsid w:val="000D6A7F"/>
    <w:rsid w:val="000D7003"/>
    <w:rsid w:val="000E0470"/>
    <w:rsid w:val="000E20E6"/>
    <w:rsid w:val="000E44CC"/>
    <w:rsid w:val="000E58F0"/>
    <w:rsid w:val="000E777A"/>
    <w:rsid w:val="000F55BC"/>
    <w:rsid w:val="00100F94"/>
    <w:rsid w:val="001024FF"/>
    <w:rsid w:val="0010331D"/>
    <w:rsid w:val="0010445E"/>
    <w:rsid w:val="00105433"/>
    <w:rsid w:val="001056E2"/>
    <w:rsid w:val="0011156C"/>
    <w:rsid w:val="0011164E"/>
    <w:rsid w:val="00112A28"/>
    <w:rsid w:val="00121175"/>
    <w:rsid w:val="00125AA1"/>
    <w:rsid w:val="00126D0F"/>
    <w:rsid w:val="00126EBC"/>
    <w:rsid w:val="001409FA"/>
    <w:rsid w:val="00142176"/>
    <w:rsid w:val="00142236"/>
    <w:rsid w:val="00151EF8"/>
    <w:rsid w:val="00152C39"/>
    <w:rsid w:val="00155D65"/>
    <w:rsid w:val="00157124"/>
    <w:rsid w:val="001572AF"/>
    <w:rsid w:val="0017257C"/>
    <w:rsid w:val="00177DA9"/>
    <w:rsid w:val="00182F61"/>
    <w:rsid w:val="00184A84"/>
    <w:rsid w:val="00185E50"/>
    <w:rsid w:val="00186BAD"/>
    <w:rsid w:val="001878AE"/>
    <w:rsid w:val="00193F97"/>
    <w:rsid w:val="00194CDA"/>
    <w:rsid w:val="001A1C75"/>
    <w:rsid w:val="001A27C1"/>
    <w:rsid w:val="001A2D7B"/>
    <w:rsid w:val="001B0744"/>
    <w:rsid w:val="001B164E"/>
    <w:rsid w:val="001C31D0"/>
    <w:rsid w:val="001C325C"/>
    <w:rsid w:val="001C3A0F"/>
    <w:rsid w:val="001C4814"/>
    <w:rsid w:val="001C668F"/>
    <w:rsid w:val="001C72A9"/>
    <w:rsid w:val="001D3602"/>
    <w:rsid w:val="001D7CF8"/>
    <w:rsid w:val="001E1C21"/>
    <w:rsid w:val="001E6D9E"/>
    <w:rsid w:val="001F13F4"/>
    <w:rsid w:val="001F3683"/>
    <w:rsid w:val="001F5C80"/>
    <w:rsid w:val="001F5F3B"/>
    <w:rsid w:val="001F7C93"/>
    <w:rsid w:val="00201C5B"/>
    <w:rsid w:val="00204A84"/>
    <w:rsid w:val="00205BB2"/>
    <w:rsid w:val="00206231"/>
    <w:rsid w:val="0021440F"/>
    <w:rsid w:val="00214B47"/>
    <w:rsid w:val="002160B6"/>
    <w:rsid w:val="00216ACC"/>
    <w:rsid w:val="00221A3B"/>
    <w:rsid w:val="00227257"/>
    <w:rsid w:val="0023139E"/>
    <w:rsid w:val="00231538"/>
    <w:rsid w:val="00233718"/>
    <w:rsid w:val="002337E9"/>
    <w:rsid w:val="0024533B"/>
    <w:rsid w:val="0024598F"/>
    <w:rsid w:val="002471AC"/>
    <w:rsid w:val="0025270F"/>
    <w:rsid w:val="00255AD4"/>
    <w:rsid w:val="00255F35"/>
    <w:rsid w:val="002754B7"/>
    <w:rsid w:val="002821C0"/>
    <w:rsid w:val="00282549"/>
    <w:rsid w:val="00283508"/>
    <w:rsid w:val="00283EC7"/>
    <w:rsid w:val="00284C06"/>
    <w:rsid w:val="00285B65"/>
    <w:rsid w:val="00291C93"/>
    <w:rsid w:val="00292CCB"/>
    <w:rsid w:val="00293FFD"/>
    <w:rsid w:val="002A02C2"/>
    <w:rsid w:val="002A2580"/>
    <w:rsid w:val="002A3D9B"/>
    <w:rsid w:val="002A41EF"/>
    <w:rsid w:val="002A5697"/>
    <w:rsid w:val="002A5BBE"/>
    <w:rsid w:val="002B0DFD"/>
    <w:rsid w:val="002B1024"/>
    <w:rsid w:val="002B5992"/>
    <w:rsid w:val="002C6237"/>
    <w:rsid w:val="002D084A"/>
    <w:rsid w:val="002D382A"/>
    <w:rsid w:val="002D4D76"/>
    <w:rsid w:val="002D7363"/>
    <w:rsid w:val="002E2955"/>
    <w:rsid w:val="002E31FC"/>
    <w:rsid w:val="002E40A4"/>
    <w:rsid w:val="002E597E"/>
    <w:rsid w:val="002F7B49"/>
    <w:rsid w:val="003053F1"/>
    <w:rsid w:val="00307F41"/>
    <w:rsid w:val="0031046A"/>
    <w:rsid w:val="0031194F"/>
    <w:rsid w:val="00320CC8"/>
    <w:rsid w:val="00320DD1"/>
    <w:rsid w:val="00327ED9"/>
    <w:rsid w:val="00330D7B"/>
    <w:rsid w:val="003401A8"/>
    <w:rsid w:val="00340698"/>
    <w:rsid w:val="003450BA"/>
    <w:rsid w:val="003471D4"/>
    <w:rsid w:val="00350A93"/>
    <w:rsid w:val="00350F74"/>
    <w:rsid w:val="003546DD"/>
    <w:rsid w:val="00356978"/>
    <w:rsid w:val="00357AA6"/>
    <w:rsid w:val="00360C39"/>
    <w:rsid w:val="00363198"/>
    <w:rsid w:val="00364EAA"/>
    <w:rsid w:val="00370B13"/>
    <w:rsid w:val="00373107"/>
    <w:rsid w:val="00373CA5"/>
    <w:rsid w:val="00376E9F"/>
    <w:rsid w:val="00390DE8"/>
    <w:rsid w:val="003913C4"/>
    <w:rsid w:val="003A02D5"/>
    <w:rsid w:val="003A2313"/>
    <w:rsid w:val="003A592D"/>
    <w:rsid w:val="003A7C8E"/>
    <w:rsid w:val="003B074A"/>
    <w:rsid w:val="003B078D"/>
    <w:rsid w:val="003B501B"/>
    <w:rsid w:val="003B7D76"/>
    <w:rsid w:val="003C0D44"/>
    <w:rsid w:val="003D1B21"/>
    <w:rsid w:val="003D2B87"/>
    <w:rsid w:val="003D5D99"/>
    <w:rsid w:val="003E1142"/>
    <w:rsid w:val="003E317D"/>
    <w:rsid w:val="003E33A8"/>
    <w:rsid w:val="003E534F"/>
    <w:rsid w:val="003F004A"/>
    <w:rsid w:val="003F030B"/>
    <w:rsid w:val="003F1A97"/>
    <w:rsid w:val="003F3E8D"/>
    <w:rsid w:val="0040473D"/>
    <w:rsid w:val="00404BEC"/>
    <w:rsid w:val="00407BD3"/>
    <w:rsid w:val="0041054C"/>
    <w:rsid w:val="00411612"/>
    <w:rsid w:val="00412C03"/>
    <w:rsid w:val="004135B1"/>
    <w:rsid w:val="00413D44"/>
    <w:rsid w:val="00413E8B"/>
    <w:rsid w:val="00416CB5"/>
    <w:rsid w:val="00417F35"/>
    <w:rsid w:val="00420688"/>
    <w:rsid w:val="004245CA"/>
    <w:rsid w:val="0042580D"/>
    <w:rsid w:val="00431A96"/>
    <w:rsid w:val="00432379"/>
    <w:rsid w:val="00435536"/>
    <w:rsid w:val="00435A9B"/>
    <w:rsid w:val="00443C33"/>
    <w:rsid w:val="00446AC0"/>
    <w:rsid w:val="0045060E"/>
    <w:rsid w:val="00451313"/>
    <w:rsid w:val="00451508"/>
    <w:rsid w:val="00454FC5"/>
    <w:rsid w:val="004634E6"/>
    <w:rsid w:val="00463F2F"/>
    <w:rsid w:val="00464840"/>
    <w:rsid w:val="0047123A"/>
    <w:rsid w:val="004730DB"/>
    <w:rsid w:val="00477B3F"/>
    <w:rsid w:val="00483BCB"/>
    <w:rsid w:val="0049040F"/>
    <w:rsid w:val="00491C4B"/>
    <w:rsid w:val="00492BD2"/>
    <w:rsid w:val="00494731"/>
    <w:rsid w:val="00495DB2"/>
    <w:rsid w:val="00497230"/>
    <w:rsid w:val="004A12BC"/>
    <w:rsid w:val="004A12D6"/>
    <w:rsid w:val="004A1A0E"/>
    <w:rsid w:val="004A66F4"/>
    <w:rsid w:val="004A781F"/>
    <w:rsid w:val="004B3EF2"/>
    <w:rsid w:val="004C316C"/>
    <w:rsid w:val="004C5BF4"/>
    <w:rsid w:val="004D5AAE"/>
    <w:rsid w:val="004E00F2"/>
    <w:rsid w:val="004E03A8"/>
    <w:rsid w:val="004E0E8E"/>
    <w:rsid w:val="004E3818"/>
    <w:rsid w:val="004F0921"/>
    <w:rsid w:val="004F5DC8"/>
    <w:rsid w:val="0050063A"/>
    <w:rsid w:val="00500BC3"/>
    <w:rsid w:val="00500F81"/>
    <w:rsid w:val="00502508"/>
    <w:rsid w:val="005028E2"/>
    <w:rsid w:val="00505606"/>
    <w:rsid w:val="0050567F"/>
    <w:rsid w:val="00505903"/>
    <w:rsid w:val="00506166"/>
    <w:rsid w:val="00507888"/>
    <w:rsid w:val="00511B52"/>
    <w:rsid w:val="005143AA"/>
    <w:rsid w:val="0051495C"/>
    <w:rsid w:val="00514E37"/>
    <w:rsid w:val="0051553F"/>
    <w:rsid w:val="00517850"/>
    <w:rsid w:val="005218EC"/>
    <w:rsid w:val="00522877"/>
    <w:rsid w:val="00530BBB"/>
    <w:rsid w:val="00531995"/>
    <w:rsid w:val="00532189"/>
    <w:rsid w:val="0053365D"/>
    <w:rsid w:val="00536760"/>
    <w:rsid w:val="00536ADF"/>
    <w:rsid w:val="00540773"/>
    <w:rsid w:val="00540FAF"/>
    <w:rsid w:val="0054330E"/>
    <w:rsid w:val="0054629F"/>
    <w:rsid w:val="005555D3"/>
    <w:rsid w:val="00556894"/>
    <w:rsid w:val="00557A42"/>
    <w:rsid w:val="00557E28"/>
    <w:rsid w:val="0056721D"/>
    <w:rsid w:val="00567826"/>
    <w:rsid w:val="00571B5B"/>
    <w:rsid w:val="005769DE"/>
    <w:rsid w:val="0058228A"/>
    <w:rsid w:val="0058752F"/>
    <w:rsid w:val="0059017E"/>
    <w:rsid w:val="00593CD6"/>
    <w:rsid w:val="005A35AC"/>
    <w:rsid w:val="005B016C"/>
    <w:rsid w:val="005B0445"/>
    <w:rsid w:val="005B1684"/>
    <w:rsid w:val="005B1861"/>
    <w:rsid w:val="005B2F01"/>
    <w:rsid w:val="005D4C54"/>
    <w:rsid w:val="005D756D"/>
    <w:rsid w:val="005E1CA2"/>
    <w:rsid w:val="005E40D5"/>
    <w:rsid w:val="005F3B30"/>
    <w:rsid w:val="00603625"/>
    <w:rsid w:val="00607CB4"/>
    <w:rsid w:val="00612625"/>
    <w:rsid w:val="00613D6B"/>
    <w:rsid w:val="00623748"/>
    <w:rsid w:val="006256C1"/>
    <w:rsid w:val="00627E64"/>
    <w:rsid w:val="006328FD"/>
    <w:rsid w:val="00633972"/>
    <w:rsid w:val="0064002B"/>
    <w:rsid w:val="00641F4C"/>
    <w:rsid w:val="0065096D"/>
    <w:rsid w:val="00655A88"/>
    <w:rsid w:val="00663488"/>
    <w:rsid w:val="00664141"/>
    <w:rsid w:val="006648BD"/>
    <w:rsid w:val="00665B08"/>
    <w:rsid w:val="00667093"/>
    <w:rsid w:val="00667229"/>
    <w:rsid w:val="006729B7"/>
    <w:rsid w:val="00680D91"/>
    <w:rsid w:val="0069187D"/>
    <w:rsid w:val="006920BE"/>
    <w:rsid w:val="006924FD"/>
    <w:rsid w:val="00696380"/>
    <w:rsid w:val="00697683"/>
    <w:rsid w:val="006A68D1"/>
    <w:rsid w:val="006B2000"/>
    <w:rsid w:val="006B2CA0"/>
    <w:rsid w:val="006B4592"/>
    <w:rsid w:val="006B7D3E"/>
    <w:rsid w:val="006C142C"/>
    <w:rsid w:val="006D2C82"/>
    <w:rsid w:val="006D37CC"/>
    <w:rsid w:val="006D463F"/>
    <w:rsid w:val="006E0868"/>
    <w:rsid w:val="006E24C9"/>
    <w:rsid w:val="006E39E7"/>
    <w:rsid w:val="006E3DF9"/>
    <w:rsid w:val="006E4457"/>
    <w:rsid w:val="006E5D3B"/>
    <w:rsid w:val="006F6181"/>
    <w:rsid w:val="006F736E"/>
    <w:rsid w:val="00701327"/>
    <w:rsid w:val="00701FF6"/>
    <w:rsid w:val="007103BB"/>
    <w:rsid w:val="0071060F"/>
    <w:rsid w:val="00710AF1"/>
    <w:rsid w:val="00713BFC"/>
    <w:rsid w:val="00713BFE"/>
    <w:rsid w:val="00714677"/>
    <w:rsid w:val="007235F0"/>
    <w:rsid w:val="00734B49"/>
    <w:rsid w:val="007366AF"/>
    <w:rsid w:val="00740DA1"/>
    <w:rsid w:val="00742D6C"/>
    <w:rsid w:val="00742FCC"/>
    <w:rsid w:val="007439A7"/>
    <w:rsid w:val="0074556C"/>
    <w:rsid w:val="00746120"/>
    <w:rsid w:val="00750788"/>
    <w:rsid w:val="00754B24"/>
    <w:rsid w:val="0075567C"/>
    <w:rsid w:val="007574FF"/>
    <w:rsid w:val="00762F3F"/>
    <w:rsid w:val="00765902"/>
    <w:rsid w:val="00766533"/>
    <w:rsid w:val="00773859"/>
    <w:rsid w:val="007771EF"/>
    <w:rsid w:val="0078122D"/>
    <w:rsid w:val="0078347C"/>
    <w:rsid w:val="00783A13"/>
    <w:rsid w:val="00785478"/>
    <w:rsid w:val="007952E7"/>
    <w:rsid w:val="00795598"/>
    <w:rsid w:val="00796CAF"/>
    <w:rsid w:val="007A0C41"/>
    <w:rsid w:val="007A3CAE"/>
    <w:rsid w:val="007A693A"/>
    <w:rsid w:val="007B50F9"/>
    <w:rsid w:val="007C0DA1"/>
    <w:rsid w:val="007C1D54"/>
    <w:rsid w:val="007C3DBD"/>
    <w:rsid w:val="007C3F19"/>
    <w:rsid w:val="007D0F43"/>
    <w:rsid w:val="007D1FFC"/>
    <w:rsid w:val="007D4A75"/>
    <w:rsid w:val="007D756D"/>
    <w:rsid w:val="007D780E"/>
    <w:rsid w:val="007D7C2A"/>
    <w:rsid w:val="007E0508"/>
    <w:rsid w:val="007E1A19"/>
    <w:rsid w:val="007F2BD3"/>
    <w:rsid w:val="007F7248"/>
    <w:rsid w:val="007F7BB4"/>
    <w:rsid w:val="00803F46"/>
    <w:rsid w:val="00807765"/>
    <w:rsid w:val="00807C36"/>
    <w:rsid w:val="008108D8"/>
    <w:rsid w:val="00813F94"/>
    <w:rsid w:val="00814F59"/>
    <w:rsid w:val="00815919"/>
    <w:rsid w:val="00820333"/>
    <w:rsid w:val="00832CD1"/>
    <w:rsid w:val="0083476B"/>
    <w:rsid w:val="00834A5D"/>
    <w:rsid w:val="0083503F"/>
    <w:rsid w:val="008429AE"/>
    <w:rsid w:val="008437F2"/>
    <w:rsid w:val="008518D2"/>
    <w:rsid w:val="0085596A"/>
    <w:rsid w:val="008632FF"/>
    <w:rsid w:val="008645B0"/>
    <w:rsid w:val="00867132"/>
    <w:rsid w:val="00871B1F"/>
    <w:rsid w:val="00875CD6"/>
    <w:rsid w:val="008767D3"/>
    <w:rsid w:val="00881493"/>
    <w:rsid w:val="00881EEA"/>
    <w:rsid w:val="00882A7C"/>
    <w:rsid w:val="008940B3"/>
    <w:rsid w:val="00896C6A"/>
    <w:rsid w:val="008A01CD"/>
    <w:rsid w:val="008A2BBC"/>
    <w:rsid w:val="008A3A05"/>
    <w:rsid w:val="008A640D"/>
    <w:rsid w:val="008A6CE7"/>
    <w:rsid w:val="008B0E66"/>
    <w:rsid w:val="008B3551"/>
    <w:rsid w:val="008B3D95"/>
    <w:rsid w:val="008B5853"/>
    <w:rsid w:val="008B591F"/>
    <w:rsid w:val="008C1199"/>
    <w:rsid w:val="008C1328"/>
    <w:rsid w:val="008C20D0"/>
    <w:rsid w:val="008C44B0"/>
    <w:rsid w:val="008C55FF"/>
    <w:rsid w:val="008C7AA2"/>
    <w:rsid w:val="008D01BA"/>
    <w:rsid w:val="008D0254"/>
    <w:rsid w:val="008D17A8"/>
    <w:rsid w:val="008D3D46"/>
    <w:rsid w:val="008F5540"/>
    <w:rsid w:val="009009A5"/>
    <w:rsid w:val="00900B04"/>
    <w:rsid w:val="00901BF8"/>
    <w:rsid w:val="00903722"/>
    <w:rsid w:val="00904093"/>
    <w:rsid w:val="0090425E"/>
    <w:rsid w:val="009060C1"/>
    <w:rsid w:val="0090623A"/>
    <w:rsid w:val="00907BA9"/>
    <w:rsid w:val="00913065"/>
    <w:rsid w:val="009134F8"/>
    <w:rsid w:val="009149B2"/>
    <w:rsid w:val="00925146"/>
    <w:rsid w:val="0092666A"/>
    <w:rsid w:val="00926FC8"/>
    <w:rsid w:val="00927FED"/>
    <w:rsid w:val="0093446F"/>
    <w:rsid w:val="00936E4F"/>
    <w:rsid w:val="0094028F"/>
    <w:rsid w:val="00942AD8"/>
    <w:rsid w:val="00942B08"/>
    <w:rsid w:val="00943A06"/>
    <w:rsid w:val="00945A93"/>
    <w:rsid w:val="00946156"/>
    <w:rsid w:val="00953EBF"/>
    <w:rsid w:val="009575AB"/>
    <w:rsid w:val="00961441"/>
    <w:rsid w:val="00961BED"/>
    <w:rsid w:val="00962621"/>
    <w:rsid w:val="0096263D"/>
    <w:rsid w:val="00964B97"/>
    <w:rsid w:val="00965382"/>
    <w:rsid w:val="009721B6"/>
    <w:rsid w:val="009739F7"/>
    <w:rsid w:val="00982217"/>
    <w:rsid w:val="0098426C"/>
    <w:rsid w:val="00992E36"/>
    <w:rsid w:val="009A022E"/>
    <w:rsid w:val="009A3499"/>
    <w:rsid w:val="009A49A9"/>
    <w:rsid w:val="009B096E"/>
    <w:rsid w:val="009B3092"/>
    <w:rsid w:val="009C1B85"/>
    <w:rsid w:val="009C209D"/>
    <w:rsid w:val="009C39B8"/>
    <w:rsid w:val="009C536B"/>
    <w:rsid w:val="009C6E58"/>
    <w:rsid w:val="009D6BD8"/>
    <w:rsid w:val="009D799E"/>
    <w:rsid w:val="009E0521"/>
    <w:rsid w:val="009E0527"/>
    <w:rsid w:val="009E20B5"/>
    <w:rsid w:val="009E3845"/>
    <w:rsid w:val="009E405B"/>
    <w:rsid w:val="009F26B0"/>
    <w:rsid w:val="009F41BA"/>
    <w:rsid w:val="009F49B6"/>
    <w:rsid w:val="009F626F"/>
    <w:rsid w:val="00A10B0C"/>
    <w:rsid w:val="00A1486E"/>
    <w:rsid w:val="00A173AF"/>
    <w:rsid w:val="00A25C16"/>
    <w:rsid w:val="00A27741"/>
    <w:rsid w:val="00A2791D"/>
    <w:rsid w:val="00A35DC3"/>
    <w:rsid w:val="00A3706A"/>
    <w:rsid w:val="00A37878"/>
    <w:rsid w:val="00A412D4"/>
    <w:rsid w:val="00A4208E"/>
    <w:rsid w:val="00A425D3"/>
    <w:rsid w:val="00A46873"/>
    <w:rsid w:val="00A533EC"/>
    <w:rsid w:val="00A54D7C"/>
    <w:rsid w:val="00A60C56"/>
    <w:rsid w:val="00A626CC"/>
    <w:rsid w:val="00A67957"/>
    <w:rsid w:val="00A70B62"/>
    <w:rsid w:val="00A7411F"/>
    <w:rsid w:val="00A8494C"/>
    <w:rsid w:val="00A8580F"/>
    <w:rsid w:val="00A86168"/>
    <w:rsid w:val="00A87A55"/>
    <w:rsid w:val="00A90342"/>
    <w:rsid w:val="00AA24DB"/>
    <w:rsid w:val="00AA309C"/>
    <w:rsid w:val="00AA6431"/>
    <w:rsid w:val="00AB1515"/>
    <w:rsid w:val="00AB2892"/>
    <w:rsid w:val="00AB291F"/>
    <w:rsid w:val="00AC1E4E"/>
    <w:rsid w:val="00AC38D1"/>
    <w:rsid w:val="00AC4C0F"/>
    <w:rsid w:val="00AD2A4A"/>
    <w:rsid w:val="00AD4025"/>
    <w:rsid w:val="00AD6EC4"/>
    <w:rsid w:val="00AD701A"/>
    <w:rsid w:val="00AE1235"/>
    <w:rsid w:val="00AE13D5"/>
    <w:rsid w:val="00AE3D58"/>
    <w:rsid w:val="00AF2D36"/>
    <w:rsid w:val="00AF37B1"/>
    <w:rsid w:val="00AF536B"/>
    <w:rsid w:val="00AF6001"/>
    <w:rsid w:val="00AF6EBA"/>
    <w:rsid w:val="00AF7766"/>
    <w:rsid w:val="00B02F9C"/>
    <w:rsid w:val="00B06360"/>
    <w:rsid w:val="00B10662"/>
    <w:rsid w:val="00B10D58"/>
    <w:rsid w:val="00B1248A"/>
    <w:rsid w:val="00B127B8"/>
    <w:rsid w:val="00B1296D"/>
    <w:rsid w:val="00B17CAA"/>
    <w:rsid w:val="00B242DB"/>
    <w:rsid w:val="00B26B3B"/>
    <w:rsid w:val="00B27D3C"/>
    <w:rsid w:val="00B32CCD"/>
    <w:rsid w:val="00B34BFA"/>
    <w:rsid w:val="00B35E5D"/>
    <w:rsid w:val="00B35F0E"/>
    <w:rsid w:val="00B42AF7"/>
    <w:rsid w:val="00B459DB"/>
    <w:rsid w:val="00B45F64"/>
    <w:rsid w:val="00B46431"/>
    <w:rsid w:val="00B46762"/>
    <w:rsid w:val="00B469BD"/>
    <w:rsid w:val="00B5297C"/>
    <w:rsid w:val="00B53E43"/>
    <w:rsid w:val="00B555EE"/>
    <w:rsid w:val="00B60820"/>
    <w:rsid w:val="00B61764"/>
    <w:rsid w:val="00B61FE8"/>
    <w:rsid w:val="00B71FCA"/>
    <w:rsid w:val="00B745AE"/>
    <w:rsid w:val="00B75895"/>
    <w:rsid w:val="00B8220E"/>
    <w:rsid w:val="00B83788"/>
    <w:rsid w:val="00B84D06"/>
    <w:rsid w:val="00B9215E"/>
    <w:rsid w:val="00B95470"/>
    <w:rsid w:val="00BA055A"/>
    <w:rsid w:val="00BA3A31"/>
    <w:rsid w:val="00BA3BDE"/>
    <w:rsid w:val="00BA7AC6"/>
    <w:rsid w:val="00BB1620"/>
    <w:rsid w:val="00BB7FD8"/>
    <w:rsid w:val="00BC1F16"/>
    <w:rsid w:val="00BC487F"/>
    <w:rsid w:val="00BC6201"/>
    <w:rsid w:val="00BD0EF6"/>
    <w:rsid w:val="00BD10E4"/>
    <w:rsid w:val="00BD491E"/>
    <w:rsid w:val="00BD7632"/>
    <w:rsid w:val="00BD7E74"/>
    <w:rsid w:val="00BE2981"/>
    <w:rsid w:val="00BE2DF5"/>
    <w:rsid w:val="00BE37D7"/>
    <w:rsid w:val="00BF3ABD"/>
    <w:rsid w:val="00BF4CCE"/>
    <w:rsid w:val="00C01ADB"/>
    <w:rsid w:val="00C04F1F"/>
    <w:rsid w:val="00C133C3"/>
    <w:rsid w:val="00C25036"/>
    <w:rsid w:val="00C2784D"/>
    <w:rsid w:val="00C36CBE"/>
    <w:rsid w:val="00C40697"/>
    <w:rsid w:val="00C41715"/>
    <w:rsid w:val="00C41930"/>
    <w:rsid w:val="00C439A4"/>
    <w:rsid w:val="00C464EF"/>
    <w:rsid w:val="00C520E8"/>
    <w:rsid w:val="00C52EB0"/>
    <w:rsid w:val="00C53CE8"/>
    <w:rsid w:val="00C55F12"/>
    <w:rsid w:val="00C56333"/>
    <w:rsid w:val="00C565F9"/>
    <w:rsid w:val="00C61609"/>
    <w:rsid w:val="00C616AA"/>
    <w:rsid w:val="00C638A8"/>
    <w:rsid w:val="00C66992"/>
    <w:rsid w:val="00C70F21"/>
    <w:rsid w:val="00C71535"/>
    <w:rsid w:val="00C815BE"/>
    <w:rsid w:val="00C83E8E"/>
    <w:rsid w:val="00C84D38"/>
    <w:rsid w:val="00C9208F"/>
    <w:rsid w:val="00C925E7"/>
    <w:rsid w:val="00C93D71"/>
    <w:rsid w:val="00C943F9"/>
    <w:rsid w:val="00C94BBB"/>
    <w:rsid w:val="00C95371"/>
    <w:rsid w:val="00C95C06"/>
    <w:rsid w:val="00C96551"/>
    <w:rsid w:val="00C97D9C"/>
    <w:rsid w:val="00CA1B23"/>
    <w:rsid w:val="00CA24C1"/>
    <w:rsid w:val="00CA255B"/>
    <w:rsid w:val="00CA2DBC"/>
    <w:rsid w:val="00CA36E1"/>
    <w:rsid w:val="00CA6473"/>
    <w:rsid w:val="00CB2084"/>
    <w:rsid w:val="00CB5CA3"/>
    <w:rsid w:val="00CB6F1E"/>
    <w:rsid w:val="00CC2759"/>
    <w:rsid w:val="00CC6070"/>
    <w:rsid w:val="00CC7CEC"/>
    <w:rsid w:val="00CD2F15"/>
    <w:rsid w:val="00CD72F4"/>
    <w:rsid w:val="00CE3239"/>
    <w:rsid w:val="00CE61D3"/>
    <w:rsid w:val="00CF57D6"/>
    <w:rsid w:val="00D00361"/>
    <w:rsid w:val="00D012D9"/>
    <w:rsid w:val="00D0253F"/>
    <w:rsid w:val="00D037BD"/>
    <w:rsid w:val="00D039FE"/>
    <w:rsid w:val="00D06A53"/>
    <w:rsid w:val="00D13461"/>
    <w:rsid w:val="00D2355C"/>
    <w:rsid w:val="00D24D35"/>
    <w:rsid w:val="00D25F24"/>
    <w:rsid w:val="00D33253"/>
    <w:rsid w:val="00D34D16"/>
    <w:rsid w:val="00D36690"/>
    <w:rsid w:val="00D37555"/>
    <w:rsid w:val="00D41CED"/>
    <w:rsid w:val="00D45396"/>
    <w:rsid w:val="00D47F39"/>
    <w:rsid w:val="00D50FDA"/>
    <w:rsid w:val="00D64111"/>
    <w:rsid w:val="00D66AF4"/>
    <w:rsid w:val="00D71199"/>
    <w:rsid w:val="00D746D5"/>
    <w:rsid w:val="00D75C42"/>
    <w:rsid w:val="00D774B1"/>
    <w:rsid w:val="00D77C5A"/>
    <w:rsid w:val="00D8061C"/>
    <w:rsid w:val="00D81F0F"/>
    <w:rsid w:val="00D9036E"/>
    <w:rsid w:val="00D9170A"/>
    <w:rsid w:val="00DA0208"/>
    <w:rsid w:val="00DA1BCD"/>
    <w:rsid w:val="00DA23A7"/>
    <w:rsid w:val="00DA329C"/>
    <w:rsid w:val="00DA39D9"/>
    <w:rsid w:val="00DA5CBE"/>
    <w:rsid w:val="00DA70D9"/>
    <w:rsid w:val="00DB07CD"/>
    <w:rsid w:val="00DB0C5B"/>
    <w:rsid w:val="00DB546B"/>
    <w:rsid w:val="00DD1D56"/>
    <w:rsid w:val="00DE0D49"/>
    <w:rsid w:val="00DE1E97"/>
    <w:rsid w:val="00DE3D8D"/>
    <w:rsid w:val="00DF0FC8"/>
    <w:rsid w:val="00DF10A5"/>
    <w:rsid w:val="00DF44D8"/>
    <w:rsid w:val="00DF7DB1"/>
    <w:rsid w:val="00E01B92"/>
    <w:rsid w:val="00E06CC0"/>
    <w:rsid w:val="00E07869"/>
    <w:rsid w:val="00E1027C"/>
    <w:rsid w:val="00E11E3E"/>
    <w:rsid w:val="00E123B7"/>
    <w:rsid w:val="00E12DC8"/>
    <w:rsid w:val="00E13720"/>
    <w:rsid w:val="00E23302"/>
    <w:rsid w:val="00E237F1"/>
    <w:rsid w:val="00E24100"/>
    <w:rsid w:val="00E27484"/>
    <w:rsid w:val="00E27649"/>
    <w:rsid w:val="00E30DDE"/>
    <w:rsid w:val="00E32DCF"/>
    <w:rsid w:val="00E33682"/>
    <w:rsid w:val="00E339AB"/>
    <w:rsid w:val="00E33C7A"/>
    <w:rsid w:val="00E41E67"/>
    <w:rsid w:val="00E444FF"/>
    <w:rsid w:val="00E553D7"/>
    <w:rsid w:val="00E55440"/>
    <w:rsid w:val="00E613F3"/>
    <w:rsid w:val="00E62674"/>
    <w:rsid w:val="00E67F6E"/>
    <w:rsid w:val="00E70013"/>
    <w:rsid w:val="00E74F0E"/>
    <w:rsid w:val="00E771E0"/>
    <w:rsid w:val="00E848F1"/>
    <w:rsid w:val="00E90954"/>
    <w:rsid w:val="00E933D1"/>
    <w:rsid w:val="00E941CB"/>
    <w:rsid w:val="00E949B7"/>
    <w:rsid w:val="00E9610F"/>
    <w:rsid w:val="00E966E0"/>
    <w:rsid w:val="00EA1872"/>
    <w:rsid w:val="00EA3709"/>
    <w:rsid w:val="00EB0ECB"/>
    <w:rsid w:val="00EB1600"/>
    <w:rsid w:val="00EB4195"/>
    <w:rsid w:val="00EB4E51"/>
    <w:rsid w:val="00EC2896"/>
    <w:rsid w:val="00ED1578"/>
    <w:rsid w:val="00EE6505"/>
    <w:rsid w:val="00EF00ED"/>
    <w:rsid w:val="00F044DC"/>
    <w:rsid w:val="00F10ABB"/>
    <w:rsid w:val="00F140E7"/>
    <w:rsid w:val="00F14301"/>
    <w:rsid w:val="00F14A03"/>
    <w:rsid w:val="00F1579D"/>
    <w:rsid w:val="00F15AD3"/>
    <w:rsid w:val="00F179A7"/>
    <w:rsid w:val="00F17D09"/>
    <w:rsid w:val="00F20791"/>
    <w:rsid w:val="00F256AE"/>
    <w:rsid w:val="00F36AE0"/>
    <w:rsid w:val="00F3798D"/>
    <w:rsid w:val="00F40F74"/>
    <w:rsid w:val="00F43B14"/>
    <w:rsid w:val="00F46FEA"/>
    <w:rsid w:val="00F536C8"/>
    <w:rsid w:val="00F55C72"/>
    <w:rsid w:val="00F612CB"/>
    <w:rsid w:val="00F62CF7"/>
    <w:rsid w:val="00F6572F"/>
    <w:rsid w:val="00F67E4E"/>
    <w:rsid w:val="00F70130"/>
    <w:rsid w:val="00F7021F"/>
    <w:rsid w:val="00F72CF2"/>
    <w:rsid w:val="00F8042D"/>
    <w:rsid w:val="00F82C45"/>
    <w:rsid w:val="00F86ACE"/>
    <w:rsid w:val="00F90597"/>
    <w:rsid w:val="00F909D1"/>
    <w:rsid w:val="00F90DB3"/>
    <w:rsid w:val="00F935A2"/>
    <w:rsid w:val="00F97FF1"/>
    <w:rsid w:val="00FA0B97"/>
    <w:rsid w:val="00FA7214"/>
    <w:rsid w:val="00FA78E2"/>
    <w:rsid w:val="00FB2A7B"/>
    <w:rsid w:val="00FB3173"/>
    <w:rsid w:val="00FB51C2"/>
    <w:rsid w:val="00FB5CFA"/>
    <w:rsid w:val="00FB7BD6"/>
    <w:rsid w:val="00FC0087"/>
    <w:rsid w:val="00FC07B7"/>
    <w:rsid w:val="00FC127B"/>
    <w:rsid w:val="00FD14DB"/>
    <w:rsid w:val="00FD25C0"/>
    <w:rsid w:val="00FD3171"/>
    <w:rsid w:val="00FD32F2"/>
    <w:rsid w:val="00FD6C9E"/>
    <w:rsid w:val="00FE03AB"/>
    <w:rsid w:val="00FE0B28"/>
    <w:rsid w:val="00FE2152"/>
    <w:rsid w:val="00FF1494"/>
    <w:rsid w:val="00FF3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15:docId w15:val="{6840FBE5-0459-4B73-B88F-321F65DB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84C06"/>
    <w:pPr>
      <w:spacing w:before="100" w:beforeAutospacing="1" w:after="100" w:afterAutospacing="1"/>
      <w:outlineLvl w:val="3"/>
    </w:pPr>
    <w:rPr>
      <w:rFonts w:ascii="Times" w:hAnsi="Time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84C06"/>
    <w:rPr>
      <w:rFonts w:ascii="Times" w:hAnsi="Times"/>
      <w:b/>
      <w:bCs/>
    </w:rPr>
  </w:style>
  <w:style w:type="character" w:styleId="Emphasis">
    <w:name w:val="Emphasis"/>
    <w:basedOn w:val="DefaultParagraphFont"/>
    <w:uiPriority w:val="20"/>
    <w:qFormat/>
    <w:rsid w:val="00284C06"/>
    <w:rPr>
      <w:i/>
      <w:iCs/>
    </w:rPr>
  </w:style>
  <w:style w:type="paragraph" w:styleId="NormalWeb">
    <w:name w:val="Normal (Web)"/>
    <w:basedOn w:val="Normal"/>
    <w:uiPriority w:val="99"/>
    <w:unhideWhenUsed/>
    <w:rsid w:val="00284C0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84C06"/>
    <w:rPr>
      <w:b/>
      <w:bCs/>
    </w:rPr>
  </w:style>
  <w:style w:type="character" w:customStyle="1" w:styleId="apple-converted-space">
    <w:name w:val="apple-converted-space"/>
    <w:basedOn w:val="DefaultParagraphFont"/>
    <w:rsid w:val="00284C06"/>
  </w:style>
  <w:style w:type="character" w:styleId="Hyperlink">
    <w:name w:val="Hyperlink"/>
    <w:basedOn w:val="DefaultParagraphFont"/>
    <w:uiPriority w:val="99"/>
    <w:unhideWhenUsed/>
    <w:rsid w:val="00284C06"/>
    <w:rPr>
      <w:color w:val="0000FF" w:themeColor="hyperlink"/>
      <w:u w:val="single"/>
    </w:rPr>
  </w:style>
  <w:style w:type="paragraph" w:styleId="ListParagraph">
    <w:name w:val="List Paragraph"/>
    <w:basedOn w:val="Normal"/>
    <w:uiPriority w:val="34"/>
    <w:qFormat/>
    <w:rsid w:val="00D8061C"/>
    <w:pPr>
      <w:ind w:left="720"/>
      <w:contextualSpacing/>
    </w:pPr>
  </w:style>
  <w:style w:type="character" w:styleId="FollowedHyperlink">
    <w:name w:val="FollowedHyperlink"/>
    <w:basedOn w:val="DefaultParagraphFont"/>
    <w:uiPriority w:val="99"/>
    <w:semiHidden/>
    <w:unhideWhenUsed/>
    <w:rsid w:val="00961441"/>
    <w:rPr>
      <w:color w:val="800080" w:themeColor="followedHyperlink"/>
      <w:u w:val="single"/>
    </w:rPr>
  </w:style>
  <w:style w:type="paragraph" w:styleId="Footer">
    <w:name w:val="footer"/>
    <w:basedOn w:val="Normal"/>
    <w:link w:val="FooterChar"/>
    <w:uiPriority w:val="99"/>
    <w:unhideWhenUsed/>
    <w:rsid w:val="00B469BD"/>
    <w:pPr>
      <w:tabs>
        <w:tab w:val="center" w:pos="4320"/>
        <w:tab w:val="right" w:pos="8640"/>
      </w:tabs>
    </w:pPr>
  </w:style>
  <w:style w:type="character" w:customStyle="1" w:styleId="FooterChar">
    <w:name w:val="Footer Char"/>
    <w:basedOn w:val="DefaultParagraphFont"/>
    <w:link w:val="Footer"/>
    <w:uiPriority w:val="99"/>
    <w:rsid w:val="00B469BD"/>
  </w:style>
  <w:style w:type="character" w:styleId="PageNumber">
    <w:name w:val="page number"/>
    <w:basedOn w:val="DefaultParagraphFont"/>
    <w:uiPriority w:val="99"/>
    <w:semiHidden/>
    <w:unhideWhenUsed/>
    <w:rsid w:val="00B469BD"/>
  </w:style>
  <w:style w:type="paragraph" w:styleId="Header">
    <w:name w:val="header"/>
    <w:basedOn w:val="Normal"/>
    <w:link w:val="HeaderChar"/>
    <w:uiPriority w:val="99"/>
    <w:unhideWhenUsed/>
    <w:rsid w:val="00B469BD"/>
    <w:pPr>
      <w:tabs>
        <w:tab w:val="center" w:pos="4320"/>
        <w:tab w:val="right" w:pos="8640"/>
      </w:tabs>
    </w:pPr>
  </w:style>
  <w:style w:type="character" w:customStyle="1" w:styleId="HeaderChar">
    <w:name w:val="Header Char"/>
    <w:basedOn w:val="DefaultParagraphFont"/>
    <w:link w:val="Header"/>
    <w:uiPriority w:val="99"/>
    <w:rsid w:val="00B469BD"/>
  </w:style>
  <w:style w:type="paragraph" w:styleId="BalloonText">
    <w:name w:val="Balloon Text"/>
    <w:basedOn w:val="Normal"/>
    <w:link w:val="BalloonTextChar"/>
    <w:uiPriority w:val="99"/>
    <w:semiHidden/>
    <w:unhideWhenUsed/>
    <w:rsid w:val="0015712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7124"/>
    <w:rPr>
      <w:rFonts w:ascii="Lucida Grande" w:hAnsi="Lucida Grande" w:cs="Lucida Grande"/>
      <w:sz w:val="18"/>
      <w:szCs w:val="18"/>
    </w:rPr>
  </w:style>
  <w:style w:type="table" w:styleId="TableGrid">
    <w:name w:val="Table Grid"/>
    <w:basedOn w:val="TableNormal"/>
    <w:uiPriority w:val="59"/>
    <w:rsid w:val="0086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533">
      <w:bodyDiv w:val="1"/>
      <w:marLeft w:val="0"/>
      <w:marRight w:val="0"/>
      <w:marTop w:val="0"/>
      <w:marBottom w:val="0"/>
      <w:divBdr>
        <w:top w:val="none" w:sz="0" w:space="0" w:color="auto"/>
        <w:left w:val="none" w:sz="0" w:space="0" w:color="auto"/>
        <w:bottom w:val="none" w:sz="0" w:space="0" w:color="auto"/>
        <w:right w:val="none" w:sz="0" w:space="0" w:color="auto"/>
      </w:divBdr>
    </w:div>
    <w:div w:id="229117575">
      <w:bodyDiv w:val="1"/>
      <w:marLeft w:val="0"/>
      <w:marRight w:val="0"/>
      <w:marTop w:val="0"/>
      <w:marBottom w:val="0"/>
      <w:divBdr>
        <w:top w:val="none" w:sz="0" w:space="0" w:color="auto"/>
        <w:left w:val="none" w:sz="0" w:space="0" w:color="auto"/>
        <w:bottom w:val="none" w:sz="0" w:space="0" w:color="auto"/>
        <w:right w:val="none" w:sz="0" w:space="0" w:color="auto"/>
      </w:divBdr>
    </w:div>
    <w:div w:id="425737588">
      <w:bodyDiv w:val="1"/>
      <w:marLeft w:val="0"/>
      <w:marRight w:val="0"/>
      <w:marTop w:val="0"/>
      <w:marBottom w:val="0"/>
      <w:divBdr>
        <w:top w:val="none" w:sz="0" w:space="0" w:color="auto"/>
        <w:left w:val="none" w:sz="0" w:space="0" w:color="auto"/>
        <w:bottom w:val="none" w:sz="0" w:space="0" w:color="auto"/>
        <w:right w:val="none" w:sz="0" w:space="0" w:color="auto"/>
      </w:divBdr>
    </w:div>
    <w:div w:id="664360045">
      <w:bodyDiv w:val="1"/>
      <w:marLeft w:val="0"/>
      <w:marRight w:val="0"/>
      <w:marTop w:val="0"/>
      <w:marBottom w:val="0"/>
      <w:divBdr>
        <w:top w:val="none" w:sz="0" w:space="0" w:color="auto"/>
        <w:left w:val="none" w:sz="0" w:space="0" w:color="auto"/>
        <w:bottom w:val="none" w:sz="0" w:space="0" w:color="auto"/>
        <w:right w:val="none" w:sz="0" w:space="0" w:color="auto"/>
      </w:divBdr>
    </w:div>
    <w:div w:id="698513071">
      <w:bodyDiv w:val="1"/>
      <w:marLeft w:val="0"/>
      <w:marRight w:val="0"/>
      <w:marTop w:val="0"/>
      <w:marBottom w:val="0"/>
      <w:divBdr>
        <w:top w:val="none" w:sz="0" w:space="0" w:color="auto"/>
        <w:left w:val="none" w:sz="0" w:space="0" w:color="auto"/>
        <w:bottom w:val="none" w:sz="0" w:space="0" w:color="auto"/>
        <w:right w:val="none" w:sz="0" w:space="0" w:color="auto"/>
      </w:divBdr>
    </w:div>
    <w:div w:id="799768137">
      <w:bodyDiv w:val="1"/>
      <w:marLeft w:val="0"/>
      <w:marRight w:val="0"/>
      <w:marTop w:val="0"/>
      <w:marBottom w:val="0"/>
      <w:divBdr>
        <w:top w:val="none" w:sz="0" w:space="0" w:color="auto"/>
        <w:left w:val="none" w:sz="0" w:space="0" w:color="auto"/>
        <w:bottom w:val="none" w:sz="0" w:space="0" w:color="auto"/>
        <w:right w:val="none" w:sz="0" w:space="0" w:color="auto"/>
      </w:divBdr>
    </w:div>
    <w:div w:id="905142971">
      <w:bodyDiv w:val="1"/>
      <w:marLeft w:val="0"/>
      <w:marRight w:val="0"/>
      <w:marTop w:val="0"/>
      <w:marBottom w:val="0"/>
      <w:divBdr>
        <w:top w:val="none" w:sz="0" w:space="0" w:color="auto"/>
        <w:left w:val="none" w:sz="0" w:space="0" w:color="auto"/>
        <w:bottom w:val="none" w:sz="0" w:space="0" w:color="auto"/>
        <w:right w:val="none" w:sz="0" w:space="0" w:color="auto"/>
      </w:divBdr>
    </w:div>
    <w:div w:id="930161668">
      <w:bodyDiv w:val="1"/>
      <w:marLeft w:val="0"/>
      <w:marRight w:val="0"/>
      <w:marTop w:val="0"/>
      <w:marBottom w:val="0"/>
      <w:divBdr>
        <w:top w:val="none" w:sz="0" w:space="0" w:color="auto"/>
        <w:left w:val="none" w:sz="0" w:space="0" w:color="auto"/>
        <w:bottom w:val="none" w:sz="0" w:space="0" w:color="auto"/>
        <w:right w:val="none" w:sz="0" w:space="0" w:color="auto"/>
      </w:divBdr>
    </w:div>
    <w:div w:id="984699788">
      <w:bodyDiv w:val="1"/>
      <w:marLeft w:val="0"/>
      <w:marRight w:val="0"/>
      <w:marTop w:val="0"/>
      <w:marBottom w:val="0"/>
      <w:divBdr>
        <w:top w:val="none" w:sz="0" w:space="0" w:color="auto"/>
        <w:left w:val="none" w:sz="0" w:space="0" w:color="auto"/>
        <w:bottom w:val="none" w:sz="0" w:space="0" w:color="auto"/>
        <w:right w:val="none" w:sz="0" w:space="0" w:color="auto"/>
      </w:divBdr>
    </w:div>
    <w:div w:id="987129566">
      <w:bodyDiv w:val="1"/>
      <w:marLeft w:val="0"/>
      <w:marRight w:val="0"/>
      <w:marTop w:val="0"/>
      <w:marBottom w:val="0"/>
      <w:divBdr>
        <w:top w:val="none" w:sz="0" w:space="0" w:color="auto"/>
        <w:left w:val="none" w:sz="0" w:space="0" w:color="auto"/>
        <w:bottom w:val="none" w:sz="0" w:space="0" w:color="auto"/>
        <w:right w:val="none" w:sz="0" w:space="0" w:color="auto"/>
      </w:divBdr>
    </w:div>
    <w:div w:id="988679537">
      <w:bodyDiv w:val="1"/>
      <w:marLeft w:val="0"/>
      <w:marRight w:val="0"/>
      <w:marTop w:val="0"/>
      <w:marBottom w:val="0"/>
      <w:divBdr>
        <w:top w:val="none" w:sz="0" w:space="0" w:color="auto"/>
        <w:left w:val="none" w:sz="0" w:space="0" w:color="auto"/>
        <w:bottom w:val="none" w:sz="0" w:space="0" w:color="auto"/>
        <w:right w:val="none" w:sz="0" w:space="0" w:color="auto"/>
      </w:divBdr>
    </w:div>
    <w:div w:id="1022364267">
      <w:bodyDiv w:val="1"/>
      <w:marLeft w:val="0"/>
      <w:marRight w:val="0"/>
      <w:marTop w:val="0"/>
      <w:marBottom w:val="0"/>
      <w:divBdr>
        <w:top w:val="none" w:sz="0" w:space="0" w:color="auto"/>
        <w:left w:val="none" w:sz="0" w:space="0" w:color="auto"/>
        <w:bottom w:val="none" w:sz="0" w:space="0" w:color="auto"/>
        <w:right w:val="none" w:sz="0" w:space="0" w:color="auto"/>
      </w:divBdr>
    </w:div>
    <w:div w:id="1141657875">
      <w:bodyDiv w:val="1"/>
      <w:marLeft w:val="0"/>
      <w:marRight w:val="0"/>
      <w:marTop w:val="0"/>
      <w:marBottom w:val="0"/>
      <w:divBdr>
        <w:top w:val="none" w:sz="0" w:space="0" w:color="auto"/>
        <w:left w:val="none" w:sz="0" w:space="0" w:color="auto"/>
        <w:bottom w:val="none" w:sz="0" w:space="0" w:color="auto"/>
        <w:right w:val="none" w:sz="0" w:space="0" w:color="auto"/>
      </w:divBdr>
    </w:div>
    <w:div w:id="1160073817">
      <w:bodyDiv w:val="1"/>
      <w:marLeft w:val="0"/>
      <w:marRight w:val="0"/>
      <w:marTop w:val="0"/>
      <w:marBottom w:val="0"/>
      <w:divBdr>
        <w:top w:val="none" w:sz="0" w:space="0" w:color="auto"/>
        <w:left w:val="none" w:sz="0" w:space="0" w:color="auto"/>
        <w:bottom w:val="none" w:sz="0" w:space="0" w:color="auto"/>
        <w:right w:val="none" w:sz="0" w:space="0" w:color="auto"/>
      </w:divBdr>
    </w:div>
    <w:div w:id="1164858523">
      <w:bodyDiv w:val="1"/>
      <w:marLeft w:val="0"/>
      <w:marRight w:val="0"/>
      <w:marTop w:val="0"/>
      <w:marBottom w:val="0"/>
      <w:divBdr>
        <w:top w:val="none" w:sz="0" w:space="0" w:color="auto"/>
        <w:left w:val="none" w:sz="0" w:space="0" w:color="auto"/>
        <w:bottom w:val="none" w:sz="0" w:space="0" w:color="auto"/>
        <w:right w:val="none" w:sz="0" w:space="0" w:color="auto"/>
      </w:divBdr>
      <w:divsChild>
        <w:div w:id="1434787677">
          <w:marLeft w:val="0"/>
          <w:marRight w:val="0"/>
          <w:marTop w:val="0"/>
          <w:marBottom w:val="0"/>
          <w:divBdr>
            <w:top w:val="none" w:sz="0" w:space="0" w:color="auto"/>
            <w:left w:val="none" w:sz="0" w:space="0" w:color="auto"/>
            <w:bottom w:val="none" w:sz="0" w:space="0" w:color="auto"/>
            <w:right w:val="none" w:sz="0" w:space="0" w:color="auto"/>
          </w:divBdr>
          <w:divsChild>
            <w:div w:id="27841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54937">
      <w:bodyDiv w:val="1"/>
      <w:marLeft w:val="0"/>
      <w:marRight w:val="0"/>
      <w:marTop w:val="0"/>
      <w:marBottom w:val="0"/>
      <w:divBdr>
        <w:top w:val="none" w:sz="0" w:space="0" w:color="auto"/>
        <w:left w:val="none" w:sz="0" w:space="0" w:color="auto"/>
        <w:bottom w:val="none" w:sz="0" w:space="0" w:color="auto"/>
        <w:right w:val="none" w:sz="0" w:space="0" w:color="auto"/>
      </w:divBdr>
    </w:div>
    <w:div w:id="1230309741">
      <w:bodyDiv w:val="1"/>
      <w:marLeft w:val="0"/>
      <w:marRight w:val="0"/>
      <w:marTop w:val="0"/>
      <w:marBottom w:val="0"/>
      <w:divBdr>
        <w:top w:val="none" w:sz="0" w:space="0" w:color="auto"/>
        <w:left w:val="none" w:sz="0" w:space="0" w:color="auto"/>
        <w:bottom w:val="none" w:sz="0" w:space="0" w:color="auto"/>
        <w:right w:val="none" w:sz="0" w:space="0" w:color="auto"/>
      </w:divBdr>
    </w:div>
    <w:div w:id="1273899685">
      <w:bodyDiv w:val="1"/>
      <w:marLeft w:val="0"/>
      <w:marRight w:val="0"/>
      <w:marTop w:val="0"/>
      <w:marBottom w:val="0"/>
      <w:divBdr>
        <w:top w:val="none" w:sz="0" w:space="0" w:color="auto"/>
        <w:left w:val="none" w:sz="0" w:space="0" w:color="auto"/>
        <w:bottom w:val="none" w:sz="0" w:space="0" w:color="auto"/>
        <w:right w:val="none" w:sz="0" w:space="0" w:color="auto"/>
      </w:divBdr>
      <w:divsChild>
        <w:div w:id="1460798776">
          <w:marLeft w:val="0"/>
          <w:marRight w:val="0"/>
          <w:marTop w:val="0"/>
          <w:marBottom w:val="0"/>
          <w:divBdr>
            <w:top w:val="none" w:sz="0" w:space="0" w:color="auto"/>
            <w:left w:val="none" w:sz="0" w:space="0" w:color="auto"/>
            <w:bottom w:val="none" w:sz="0" w:space="0" w:color="auto"/>
            <w:right w:val="none" w:sz="0" w:space="0" w:color="auto"/>
          </w:divBdr>
          <w:divsChild>
            <w:div w:id="111394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43267">
      <w:bodyDiv w:val="1"/>
      <w:marLeft w:val="0"/>
      <w:marRight w:val="0"/>
      <w:marTop w:val="0"/>
      <w:marBottom w:val="0"/>
      <w:divBdr>
        <w:top w:val="none" w:sz="0" w:space="0" w:color="auto"/>
        <w:left w:val="none" w:sz="0" w:space="0" w:color="auto"/>
        <w:bottom w:val="none" w:sz="0" w:space="0" w:color="auto"/>
        <w:right w:val="none" w:sz="0" w:space="0" w:color="auto"/>
      </w:divBdr>
    </w:div>
    <w:div w:id="1303925487">
      <w:bodyDiv w:val="1"/>
      <w:marLeft w:val="0"/>
      <w:marRight w:val="0"/>
      <w:marTop w:val="0"/>
      <w:marBottom w:val="0"/>
      <w:divBdr>
        <w:top w:val="none" w:sz="0" w:space="0" w:color="auto"/>
        <w:left w:val="none" w:sz="0" w:space="0" w:color="auto"/>
        <w:bottom w:val="none" w:sz="0" w:space="0" w:color="auto"/>
        <w:right w:val="none" w:sz="0" w:space="0" w:color="auto"/>
      </w:divBdr>
    </w:div>
    <w:div w:id="1310094832">
      <w:bodyDiv w:val="1"/>
      <w:marLeft w:val="0"/>
      <w:marRight w:val="0"/>
      <w:marTop w:val="0"/>
      <w:marBottom w:val="0"/>
      <w:divBdr>
        <w:top w:val="none" w:sz="0" w:space="0" w:color="auto"/>
        <w:left w:val="none" w:sz="0" w:space="0" w:color="auto"/>
        <w:bottom w:val="none" w:sz="0" w:space="0" w:color="auto"/>
        <w:right w:val="none" w:sz="0" w:space="0" w:color="auto"/>
      </w:divBdr>
    </w:div>
    <w:div w:id="1458527989">
      <w:bodyDiv w:val="1"/>
      <w:marLeft w:val="0"/>
      <w:marRight w:val="0"/>
      <w:marTop w:val="0"/>
      <w:marBottom w:val="0"/>
      <w:divBdr>
        <w:top w:val="none" w:sz="0" w:space="0" w:color="auto"/>
        <w:left w:val="none" w:sz="0" w:space="0" w:color="auto"/>
        <w:bottom w:val="none" w:sz="0" w:space="0" w:color="auto"/>
        <w:right w:val="none" w:sz="0" w:space="0" w:color="auto"/>
      </w:divBdr>
    </w:div>
    <w:div w:id="1504779780">
      <w:bodyDiv w:val="1"/>
      <w:marLeft w:val="0"/>
      <w:marRight w:val="0"/>
      <w:marTop w:val="0"/>
      <w:marBottom w:val="0"/>
      <w:divBdr>
        <w:top w:val="none" w:sz="0" w:space="0" w:color="auto"/>
        <w:left w:val="none" w:sz="0" w:space="0" w:color="auto"/>
        <w:bottom w:val="none" w:sz="0" w:space="0" w:color="auto"/>
        <w:right w:val="none" w:sz="0" w:space="0" w:color="auto"/>
      </w:divBdr>
    </w:div>
    <w:div w:id="1915116095">
      <w:bodyDiv w:val="1"/>
      <w:marLeft w:val="0"/>
      <w:marRight w:val="0"/>
      <w:marTop w:val="0"/>
      <w:marBottom w:val="0"/>
      <w:divBdr>
        <w:top w:val="none" w:sz="0" w:space="0" w:color="auto"/>
        <w:left w:val="none" w:sz="0" w:space="0" w:color="auto"/>
        <w:bottom w:val="none" w:sz="0" w:space="0" w:color="auto"/>
        <w:right w:val="none" w:sz="0" w:space="0" w:color="auto"/>
      </w:divBdr>
    </w:div>
    <w:div w:id="1936014223">
      <w:bodyDiv w:val="1"/>
      <w:marLeft w:val="0"/>
      <w:marRight w:val="0"/>
      <w:marTop w:val="0"/>
      <w:marBottom w:val="0"/>
      <w:divBdr>
        <w:top w:val="none" w:sz="0" w:space="0" w:color="auto"/>
        <w:left w:val="none" w:sz="0" w:space="0" w:color="auto"/>
        <w:bottom w:val="none" w:sz="0" w:space="0" w:color="auto"/>
        <w:right w:val="none" w:sz="0" w:space="0" w:color="auto"/>
      </w:divBdr>
    </w:div>
    <w:div w:id="1953318953">
      <w:bodyDiv w:val="1"/>
      <w:marLeft w:val="0"/>
      <w:marRight w:val="0"/>
      <w:marTop w:val="0"/>
      <w:marBottom w:val="0"/>
      <w:divBdr>
        <w:top w:val="none" w:sz="0" w:space="0" w:color="auto"/>
        <w:left w:val="none" w:sz="0" w:space="0" w:color="auto"/>
        <w:bottom w:val="none" w:sz="0" w:space="0" w:color="auto"/>
        <w:right w:val="none" w:sz="0" w:space="0" w:color="auto"/>
      </w:divBdr>
    </w:div>
    <w:div w:id="2065595200">
      <w:bodyDiv w:val="1"/>
      <w:marLeft w:val="0"/>
      <w:marRight w:val="0"/>
      <w:marTop w:val="0"/>
      <w:marBottom w:val="0"/>
      <w:divBdr>
        <w:top w:val="none" w:sz="0" w:space="0" w:color="auto"/>
        <w:left w:val="none" w:sz="0" w:space="0" w:color="auto"/>
        <w:bottom w:val="none" w:sz="0" w:space="0" w:color="auto"/>
        <w:right w:val="none" w:sz="0" w:space="0" w:color="auto"/>
      </w:divBdr>
    </w:div>
    <w:div w:id="2099056929">
      <w:bodyDiv w:val="1"/>
      <w:marLeft w:val="0"/>
      <w:marRight w:val="0"/>
      <w:marTop w:val="0"/>
      <w:marBottom w:val="0"/>
      <w:divBdr>
        <w:top w:val="none" w:sz="0" w:space="0" w:color="auto"/>
        <w:left w:val="none" w:sz="0" w:space="0" w:color="auto"/>
        <w:bottom w:val="none" w:sz="0" w:space="0" w:color="auto"/>
        <w:right w:val="none" w:sz="0" w:space="0" w:color="auto"/>
      </w:divBdr>
      <w:divsChild>
        <w:div w:id="400442227">
          <w:marLeft w:val="0"/>
          <w:marRight w:val="0"/>
          <w:marTop w:val="0"/>
          <w:marBottom w:val="0"/>
          <w:divBdr>
            <w:top w:val="none" w:sz="0" w:space="0" w:color="auto"/>
            <w:left w:val="none" w:sz="0" w:space="0" w:color="auto"/>
            <w:bottom w:val="none" w:sz="0" w:space="0" w:color="auto"/>
            <w:right w:val="none" w:sz="0" w:space="0" w:color="auto"/>
          </w:divBdr>
        </w:div>
        <w:div w:id="503205879">
          <w:marLeft w:val="0"/>
          <w:marRight w:val="0"/>
          <w:marTop w:val="0"/>
          <w:marBottom w:val="0"/>
          <w:divBdr>
            <w:top w:val="none" w:sz="0" w:space="0" w:color="auto"/>
            <w:left w:val="none" w:sz="0" w:space="0" w:color="auto"/>
            <w:bottom w:val="none" w:sz="0" w:space="0" w:color="auto"/>
            <w:right w:val="none" w:sz="0" w:space="0" w:color="auto"/>
          </w:divBdr>
        </w:div>
        <w:div w:id="785153050">
          <w:marLeft w:val="0"/>
          <w:marRight w:val="0"/>
          <w:marTop w:val="0"/>
          <w:marBottom w:val="0"/>
          <w:divBdr>
            <w:top w:val="none" w:sz="0" w:space="0" w:color="auto"/>
            <w:left w:val="none" w:sz="0" w:space="0" w:color="auto"/>
            <w:bottom w:val="none" w:sz="0" w:space="0" w:color="auto"/>
            <w:right w:val="none" w:sz="0" w:space="0" w:color="auto"/>
          </w:divBdr>
        </w:div>
        <w:div w:id="927156429">
          <w:marLeft w:val="0"/>
          <w:marRight w:val="0"/>
          <w:marTop w:val="0"/>
          <w:marBottom w:val="0"/>
          <w:divBdr>
            <w:top w:val="none" w:sz="0" w:space="0" w:color="auto"/>
            <w:left w:val="none" w:sz="0" w:space="0" w:color="auto"/>
            <w:bottom w:val="none" w:sz="0" w:space="0" w:color="auto"/>
            <w:right w:val="none" w:sz="0" w:space="0" w:color="auto"/>
          </w:divBdr>
        </w:div>
        <w:div w:id="941183149">
          <w:marLeft w:val="0"/>
          <w:marRight w:val="0"/>
          <w:marTop w:val="0"/>
          <w:marBottom w:val="0"/>
          <w:divBdr>
            <w:top w:val="none" w:sz="0" w:space="0" w:color="auto"/>
            <w:left w:val="none" w:sz="0" w:space="0" w:color="auto"/>
            <w:bottom w:val="none" w:sz="0" w:space="0" w:color="auto"/>
            <w:right w:val="none" w:sz="0" w:space="0" w:color="auto"/>
          </w:divBdr>
        </w:div>
        <w:div w:id="1025180830">
          <w:marLeft w:val="0"/>
          <w:marRight w:val="0"/>
          <w:marTop w:val="0"/>
          <w:marBottom w:val="0"/>
          <w:divBdr>
            <w:top w:val="none" w:sz="0" w:space="0" w:color="auto"/>
            <w:left w:val="none" w:sz="0" w:space="0" w:color="auto"/>
            <w:bottom w:val="none" w:sz="0" w:space="0" w:color="auto"/>
            <w:right w:val="none" w:sz="0" w:space="0" w:color="auto"/>
          </w:divBdr>
        </w:div>
        <w:div w:id="1459912411">
          <w:marLeft w:val="0"/>
          <w:marRight w:val="0"/>
          <w:marTop w:val="0"/>
          <w:marBottom w:val="0"/>
          <w:divBdr>
            <w:top w:val="none" w:sz="0" w:space="0" w:color="auto"/>
            <w:left w:val="none" w:sz="0" w:space="0" w:color="auto"/>
            <w:bottom w:val="none" w:sz="0" w:space="0" w:color="auto"/>
            <w:right w:val="none" w:sz="0" w:space="0" w:color="auto"/>
          </w:divBdr>
        </w:div>
      </w:divsChild>
    </w:div>
    <w:div w:id="2123573457">
      <w:bodyDiv w:val="1"/>
      <w:marLeft w:val="0"/>
      <w:marRight w:val="0"/>
      <w:marTop w:val="0"/>
      <w:marBottom w:val="0"/>
      <w:divBdr>
        <w:top w:val="none" w:sz="0" w:space="0" w:color="auto"/>
        <w:left w:val="none" w:sz="0" w:space="0" w:color="auto"/>
        <w:bottom w:val="none" w:sz="0" w:space="0" w:color="auto"/>
        <w:right w:val="none" w:sz="0" w:space="0" w:color="auto"/>
      </w:divBdr>
    </w:div>
    <w:div w:id="2136019820">
      <w:bodyDiv w:val="1"/>
      <w:marLeft w:val="0"/>
      <w:marRight w:val="0"/>
      <w:marTop w:val="0"/>
      <w:marBottom w:val="0"/>
      <w:divBdr>
        <w:top w:val="none" w:sz="0" w:space="0" w:color="auto"/>
        <w:left w:val="none" w:sz="0" w:space="0" w:color="auto"/>
        <w:bottom w:val="none" w:sz="0" w:space="0" w:color="auto"/>
        <w:right w:val="none" w:sz="0" w:space="0" w:color="auto"/>
      </w:divBdr>
      <w:divsChild>
        <w:div w:id="1624388144">
          <w:marLeft w:val="0"/>
          <w:marRight w:val="0"/>
          <w:marTop w:val="0"/>
          <w:marBottom w:val="0"/>
          <w:divBdr>
            <w:top w:val="none" w:sz="0" w:space="0" w:color="auto"/>
            <w:left w:val="none" w:sz="0" w:space="0" w:color="auto"/>
            <w:bottom w:val="none" w:sz="0" w:space="0" w:color="auto"/>
            <w:right w:val="none" w:sz="0" w:space="0" w:color="auto"/>
          </w:divBdr>
          <w:divsChild>
            <w:div w:id="19508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glar@westga.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ziglar@westga.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ziglar@westga.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EF765-4F51-45F1-9F26-918AB375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Newton;Jill Drake</dc:creator>
  <cp:keywords/>
  <dc:description/>
  <cp:lastModifiedBy>Sonya Adams</cp:lastModifiedBy>
  <cp:revision>2</cp:revision>
  <cp:lastPrinted>2018-07-26T20:18:00Z</cp:lastPrinted>
  <dcterms:created xsi:type="dcterms:W3CDTF">2019-11-20T15:13:00Z</dcterms:created>
  <dcterms:modified xsi:type="dcterms:W3CDTF">2019-11-20T15:13:00Z</dcterms:modified>
</cp:coreProperties>
</file>