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30"/>
      </w:pPr>
      <w:r>
        <w:rPr>
          <w:rFonts w:ascii="Cambria" w:cs="Cambria" w:eastAsia="Cambria" w:hAnsi="Cambria"/>
          <w:b/>
          <w:bCs/>
          <w:color w:val="1A1A1A"/>
          <w:spacing w:val="30"/>
          <w:sz w:val="42"/>
          <w:szCs w:val="42"/>
        </w:rPr>
        <w:t xml:space="preserve">RYAN J. GAUTREAUX</w:t>
      </w:r>
    </w:p>
    <w:p>
      <w:pPr>
        <w:spacing w:after="70"/>
      </w:pPr>
      <w:r>
        <w:rPr>
          <w:rFonts w:ascii="Calibri" w:cs="Calibri" w:eastAsia="Calibri" w:hAnsi="Calibri"/>
          <w:color w:val="23395B"/>
          <w:sz w:val="20"/>
          <w:szCs w:val="20"/>
        </w:rPr>
        <w:t xml:space="preserve">Ph.D. · Department of Communication · Georgia State University</w:t>
      </w:r>
    </w:p>
    <w:p>
      <w:pPr>
        <w:spacing w:after="16"/>
      </w:pPr>
      <w:r>
        <w:rPr>
          <w:rFonts w:ascii="Calibri" w:cs="Calibri" w:eastAsia="Calibri" w:hAnsi="Calibri"/>
          <w:color w:val="5C5C5C"/>
          <w:sz w:val="18"/>
          <w:szCs w:val="18"/>
        </w:rPr>
        <w:t xml:space="preserve">(337) 371-5034</w:t>
      </w:r>
      <w:r>
        <w:rPr>
          <w:rFonts w:ascii="Calibri" w:cs="Calibri" w:eastAsia="Calibri" w:hAnsi="Calibri"/>
          <w:color w:val="5C5C5C"/>
          <w:sz w:val="18"/>
          <w:szCs w:val="18"/>
        </w:rPr>
        <w:t xml:space="preserve">   ·   </w:t>
      </w:r>
      <w:r>
        <w:rPr>
          <w:rFonts w:ascii="Calibri" w:cs="Calibri" w:eastAsia="Calibri" w:hAnsi="Calibri"/>
          <w:color w:val="5C5C5C"/>
          <w:sz w:val="18"/>
          <w:szCs w:val="18"/>
        </w:rPr>
        <w:t xml:space="preserve">RyanJGautreaux@gmail.com</w:t>
      </w:r>
      <w:r>
        <w:rPr>
          <w:rFonts w:ascii="Calibri" w:cs="Calibri" w:eastAsia="Calibri" w:hAnsi="Calibri"/>
          <w:color w:val="5C5C5C"/>
          <w:sz w:val="18"/>
          <w:szCs w:val="18"/>
        </w:rPr>
        <w:t xml:space="preserve">   ·   </w:t>
      </w:r>
      <w:r>
        <w:rPr>
          <w:rFonts w:ascii="Calibri" w:cs="Calibri" w:eastAsia="Calibri" w:hAnsi="Calibri"/>
          <w:color w:val="5C5C5C"/>
          <w:sz w:val="18"/>
          <w:szCs w:val="18"/>
        </w:rPr>
        <w:t xml:space="preserve">Atlanta, GA</w:t>
      </w:r>
    </w:p>
    <w:p>
      <w:pPr>
        <w:spacing w:after="40"/>
      </w:pPr>
      <w:hyperlink w:history="1" r:id="rIdrhf8kwrunl88yysuzza72">
        <w:r>
          <w:rPr>
            <w:rFonts w:ascii="Calibri" w:cs="Calibri" w:eastAsia="Calibri" w:hAnsi="Calibri"/>
            <w:color w:val="1A5276"/>
            <w:sz w:val="18"/>
            <w:szCs w:val="18"/>
            <w:u w:val="single"/>
          </w:rPr>
          <w:t xml:space="preserve">ORCID 0000-0002-2804-4668</w:t>
        </w:r>
      </w:hyperlink>
      <w:r>
        <w:rPr>
          <w:rFonts w:ascii="Calibri" w:cs="Calibri" w:eastAsia="Calibri" w:hAnsi="Calibri"/>
          <w:color w:val="5C5C5C"/>
          <w:sz w:val="18"/>
          <w:szCs w:val="18"/>
        </w:rPr>
        <w:t xml:space="preserve">   ·   </w:t>
      </w:r>
      <w:hyperlink w:history="1" r:id="rId4uspi_si54gecrfzjrums">
        <w:r>
          <w:rPr>
            <w:rFonts w:ascii="Calibri" w:cs="Calibri" w:eastAsia="Calibri" w:hAnsi="Calibri"/>
            <w:color w:val="1A5276"/>
            <w:sz w:val="18"/>
            <w:szCs w:val="18"/>
            <w:u w:val="single"/>
          </w:rPr>
          <w:t xml:space="preserve">Google Scholar</w:t>
        </w:r>
      </w:hyperlink>
      <w:r>
        <w:rPr>
          <w:rFonts w:ascii="Calibri" w:cs="Calibri" w:eastAsia="Calibri" w:hAnsi="Calibri"/>
          <w:color w:val="5C5C5C"/>
          <w:sz w:val="18"/>
          <w:szCs w:val="18"/>
        </w:rPr>
        <w:t xml:space="preserve">   ·   </w:t>
      </w:r>
      <w:hyperlink w:history="1" r:id="rId_fik-pnoye0b29zaldxjq">
        <w:r>
          <w:rPr>
            <w:rFonts w:ascii="Calibri" w:cs="Calibri" w:eastAsia="Calibri" w:hAnsi="Calibri"/>
            <w:color w:val="1A5276"/>
            <w:sz w:val="18"/>
            <w:szCs w:val="18"/>
            <w:u w:val="single"/>
          </w:rPr>
          <w:t xml:space="preserve">GitHub /RyanGautreaux</w:t>
        </w:r>
      </w:hyperlink>
    </w:p>
    <w:p>
      <w:pPr>
        <w:pBdr>
          <w:bottom w:val="single" w:color="23395B" w:sz="14" w:space="1"/>
        </w:pBdr>
        <w:spacing w:after="30"/>
      </w:pPr>
    </w:p>
    <w:p>
      <w:pPr>
        <w:pBdr>
          <w:bottom w:val="single" w:color="23395B" w:sz="8" w:space="3"/>
        </w:pBdr>
        <w:spacing w:after="90" w:before="240"/>
      </w:pPr>
      <w:r>
        <w:rPr>
          <w:rFonts w:ascii="Calibri" w:cs="Calibri" w:eastAsia="Calibri" w:hAnsi="Calibri"/>
          <w:b/>
          <w:bCs/>
          <w:color w:val="23395B"/>
          <w:spacing w:val="36"/>
          <w:sz w:val="21"/>
          <w:szCs w:val="21"/>
        </w:rPr>
        <w:t xml:space="preserve">PROFILE</w:t>
      </w:r>
    </w:p>
    <w:p>
      <w:pPr>
        <w:spacing w:after="40"/>
      </w:pPr>
      <w:r>
        <w:rPr>
          <w:rFonts w:ascii="Cambria" w:cs="Cambria" w:eastAsia="Cambria" w:hAnsi="Cambria"/>
          <w:i w:val="false"/>
          <w:iCs w:val="false"/>
          <w:color w:val="1A1A1A"/>
          <w:sz w:val="20"/>
          <w:szCs w:val="20"/>
        </w:rPr>
        <w:t xml:space="preserve">Higher-education instructor and researcher specializing in misinformation correction, political communication, and computational methods, with university teaching across four institutions and three countries. Editor-in-Chief, Journal of Global Perspectives in Communication and Media.</w:t>
      </w:r>
    </w:p>
    <w:p>
      <w:pPr>
        <w:pBdr>
          <w:bottom w:val="single" w:color="23395B" w:sz="8" w:space="3"/>
        </w:pBdr>
        <w:spacing w:after="90" w:before="240"/>
      </w:pPr>
      <w:r>
        <w:rPr>
          <w:rFonts w:ascii="Calibri" w:cs="Calibri" w:eastAsia="Calibri" w:hAnsi="Calibri"/>
          <w:b/>
          <w:bCs/>
          <w:color w:val="23395B"/>
          <w:spacing w:val="36"/>
          <w:sz w:val="21"/>
          <w:szCs w:val="21"/>
        </w:rPr>
        <w:t xml:space="preserve">EDUCATION</w:t>
      </w:r>
    </w:p>
    <w:p>
      <w:pPr>
        <w:tabs>
          <w:tab w:val="right" w:pos="9648"/>
        </w:tabs>
        <w:spacing w:after="8" w:before="70"/>
      </w:pPr>
      <w:r>
        <w:rPr>
          <w:rFonts w:ascii="Cambria" w:cs="Cambria" w:eastAsia="Cambria" w:hAnsi="Cambria"/>
          <w:b/>
          <w:bCs/>
          <w:i w:val="false"/>
          <w:iCs w:val="false"/>
          <w:color w:val="1A1A1A"/>
          <w:sz w:val="20"/>
          <w:szCs w:val="20"/>
        </w:rPr>
        <w:t xml:space="preserve">Ph.D. in Communication</w:t>
      </w:r>
      <w:r>
        <w:rPr>
          <w:rFonts w:ascii="Cambria" w:cs="Cambria" w:eastAsia="Cambria" w:hAnsi="Cambria"/>
          <w:i w:val="false"/>
          <w:iCs w:val="false"/>
          <w:color w:val="1A1A1A"/>
          <w:sz w:val="20"/>
          <w:szCs w:val="20"/>
        </w:rPr>
        <w:t xml:space="preserve">, Georgia State University</w:t>
      </w:r>
      <w:r>
        <w:tab/>
      </w:r>
      <w:r>
        <w:rPr>
          <w:rFonts w:ascii="Calibri" w:cs="Calibri" w:eastAsia="Calibri" w:hAnsi="Calibri"/>
          <w:i w:val="false"/>
          <w:iCs w:val="false"/>
          <w:color w:val="5C5C5C"/>
          <w:sz w:val="19"/>
          <w:szCs w:val="19"/>
        </w:rPr>
        <w:t xml:space="preserve">2026</w:t>
      </w:r>
    </w:p>
    <w:p>
      <w:pPr>
        <w:spacing w:after="20"/>
        <w:ind/>
      </w:pPr>
      <w:r>
        <w:rPr>
          <w:rFonts w:ascii="Cambria" w:cs="Cambria" w:eastAsia="Cambria" w:hAnsi="Cambria"/>
          <w:i w:val="false"/>
          <w:iCs w:val="false"/>
          <w:color w:val="1A1A1A"/>
          <w:sz w:val="19"/>
          <w:szCs w:val="19"/>
        </w:rPr>
        <w:t xml:space="preserve">Dissertation: </w:t>
      </w:r>
      <w:r>
        <w:rPr>
          <w:rFonts w:ascii="Cambria" w:cs="Cambria" w:eastAsia="Cambria" w:hAnsi="Cambria"/>
          <w:i/>
          <w:iCs/>
          <w:color w:val="1A1A1A"/>
          <w:sz w:val="19"/>
          <w:szCs w:val="19"/>
        </w:rPr>
        <w:t xml:space="preserve">Aligning Distances: Construal-Level Congruence in Misinformation Correction</w:t>
      </w:r>
    </w:p>
    <w:p>
      <w:pPr>
        <w:spacing w:after="20"/>
        <w:ind/>
      </w:pPr>
      <w:r>
        <w:rPr>
          <w:rFonts w:ascii="Cambria" w:cs="Cambria" w:eastAsia="Cambria" w:hAnsi="Cambria"/>
          <w:i w:val="false"/>
          <w:iCs w:val="false"/>
          <w:color w:val="1A1A1A"/>
          <w:sz w:val="19"/>
          <w:szCs w:val="19"/>
        </w:rPr>
        <w:t xml:space="preserve">Committee: Dror Walter (Chair), Carol Winkler, Cynthia Hoffner, Yotam Ophir</w:t>
      </w:r>
    </w:p>
    <w:p>
      <w:pPr>
        <w:spacing w:after="50"/>
        <w:ind/>
      </w:pPr>
      <w:r>
        <w:rPr>
          <w:rFonts w:ascii="Cambria" w:cs="Cambria" w:eastAsia="Cambria" w:hAnsi="Cambria"/>
          <w:i w:val="false"/>
          <w:iCs w:val="false"/>
          <w:color w:val="5C5C5C"/>
          <w:sz w:val="19"/>
          <w:szCs w:val="19"/>
        </w:rPr>
        <w:t xml:space="preserve">Fields: Computational Methods · Multimodal Methods · Narrative Research · Persuasion · Digital Credibility · Media Framing</w:t>
      </w:r>
    </w:p>
    <w:p>
      <w:pPr>
        <w:tabs>
          <w:tab w:val="right" w:pos="9648"/>
        </w:tabs>
        <w:spacing w:after="8" w:before="70"/>
      </w:pPr>
      <w:r>
        <w:rPr>
          <w:rFonts w:ascii="Cambria" w:cs="Cambria" w:eastAsia="Cambria" w:hAnsi="Cambria"/>
          <w:b/>
          <w:bCs/>
          <w:i w:val="false"/>
          <w:iCs w:val="false"/>
          <w:color w:val="1A1A1A"/>
          <w:sz w:val="20"/>
          <w:szCs w:val="20"/>
        </w:rPr>
        <w:t xml:space="preserve">M.S. in Communication</w:t>
      </w:r>
      <w:r>
        <w:rPr>
          <w:rFonts w:ascii="Cambria" w:cs="Cambria" w:eastAsia="Cambria" w:hAnsi="Cambria"/>
          <w:i w:val="false"/>
          <w:iCs w:val="false"/>
          <w:color w:val="1A1A1A"/>
          <w:sz w:val="20"/>
          <w:szCs w:val="20"/>
        </w:rPr>
        <w:t xml:space="preserve">, University of Louisiana at Lafayette</w:t>
      </w:r>
      <w:r>
        <w:tab/>
      </w:r>
      <w:r>
        <w:rPr>
          <w:rFonts w:ascii="Calibri" w:cs="Calibri" w:eastAsia="Calibri" w:hAnsi="Calibri"/>
          <w:i w:val="false"/>
          <w:iCs w:val="false"/>
          <w:color w:val="5C5C5C"/>
          <w:sz w:val="19"/>
          <w:szCs w:val="19"/>
        </w:rPr>
        <w:t xml:space="preserve">2016</w:t>
      </w:r>
    </w:p>
    <w:p>
      <w:pPr>
        <w:spacing w:after="50"/>
        <w:ind/>
      </w:pPr>
      <w:r>
        <w:rPr>
          <w:rFonts w:ascii="Cambria" w:cs="Cambria" w:eastAsia="Cambria" w:hAnsi="Cambria"/>
          <w:i w:val="false"/>
          <w:iCs w:val="false"/>
          <w:color w:val="1A1A1A"/>
          <w:sz w:val="19"/>
          <w:szCs w:val="19"/>
        </w:rPr>
        <w:t xml:space="preserve">Thesis: </w:t>
      </w:r>
      <w:r>
        <w:rPr>
          <w:rFonts w:ascii="Cambria" w:cs="Cambria" w:eastAsia="Cambria" w:hAnsi="Cambria"/>
          <w:i/>
          <w:iCs/>
          <w:color w:val="1A1A1A"/>
          <w:sz w:val="19"/>
          <w:szCs w:val="19"/>
        </w:rPr>
        <w:t xml:space="preserve">Framing the ACA: A Content Analysis of Democratic and Republican Twitter Feeds</w:t>
      </w:r>
    </w:p>
    <w:p>
      <w:pPr>
        <w:tabs>
          <w:tab w:val="right" w:pos="9648"/>
        </w:tabs>
        <w:spacing w:after="8" w:before="70"/>
      </w:pPr>
      <w:r>
        <w:rPr>
          <w:rFonts w:ascii="Cambria" w:cs="Cambria" w:eastAsia="Cambria" w:hAnsi="Cambria"/>
          <w:b/>
          <w:bCs/>
          <w:i w:val="false"/>
          <w:iCs w:val="false"/>
          <w:color w:val="1A1A1A"/>
          <w:sz w:val="20"/>
          <w:szCs w:val="20"/>
        </w:rPr>
        <w:t xml:space="preserve">B.S. in Psychology</w:t>
      </w:r>
      <w:r>
        <w:rPr>
          <w:rFonts w:ascii="Cambria" w:cs="Cambria" w:eastAsia="Cambria" w:hAnsi="Cambria"/>
          <w:i w:val="false"/>
          <w:iCs w:val="false"/>
          <w:color w:val="1A1A1A"/>
          <w:sz w:val="20"/>
          <w:szCs w:val="20"/>
        </w:rPr>
        <w:t xml:space="preserve">, University of Louisiana at Lafayette</w:t>
      </w:r>
      <w:r>
        <w:tab/>
      </w:r>
      <w:r>
        <w:rPr>
          <w:rFonts w:ascii="Calibri" w:cs="Calibri" w:eastAsia="Calibri" w:hAnsi="Calibri"/>
          <w:i w:val="false"/>
          <w:iCs w:val="false"/>
          <w:color w:val="5C5C5C"/>
          <w:sz w:val="19"/>
          <w:szCs w:val="19"/>
        </w:rPr>
        <w:t xml:space="preserve">2007</w:t>
      </w:r>
    </w:p>
    <w:p>
      <w:pPr>
        <w:spacing w:after="50"/>
        <w:ind/>
      </w:pPr>
      <w:r>
        <w:rPr>
          <w:rFonts w:ascii="Cambria" w:cs="Cambria" w:eastAsia="Cambria" w:hAnsi="Cambria"/>
          <w:i w:val="false"/>
          <w:iCs w:val="false"/>
          <w:color w:val="5C5C5C"/>
          <w:sz w:val="19"/>
          <w:szCs w:val="19"/>
        </w:rPr>
        <w:t xml:space="preserve">Debate Team Full Scholarship · Debate Team Assistantship · TOPS Scholarship · State Academic Rally Champion</w:t>
      </w:r>
    </w:p>
    <w:p>
      <w:pPr>
        <w:pBdr>
          <w:bottom w:val="single" w:color="23395B" w:sz="8" w:space="3"/>
        </w:pBdr>
        <w:spacing w:after="90" w:before="240"/>
      </w:pPr>
      <w:r>
        <w:rPr>
          <w:rFonts w:ascii="Calibri" w:cs="Calibri" w:eastAsia="Calibri" w:hAnsi="Calibri"/>
          <w:b/>
          <w:bCs/>
          <w:color w:val="23395B"/>
          <w:spacing w:val="36"/>
          <w:sz w:val="21"/>
          <w:szCs w:val="21"/>
        </w:rPr>
        <w:t xml:space="preserve">ACADEMIC APPOINTMENTS</w:t>
      </w:r>
    </w:p>
    <w:p>
      <w:pPr>
        <w:tabs>
          <w:tab w:val="right" w:pos="9648"/>
        </w:tabs>
        <w:spacing w:after="8" w:before="70"/>
      </w:pPr>
      <w:r>
        <w:rPr>
          <w:rFonts w:ascii="Cambria" w:cs="Cambria" w:eastAsia="Cambria" w:hAnsi="Cambria"/>
          <w:b/>
          <w:bCs/>
          <w:i w:val="false"/>
          <w:iCs w:val="false"/>
          <w:color w:val="1A1A1A"/>
          <w:sz w:val="20"/>
          <w:szCs w:val="20"/>
        </w:rPr>
        <w:t xml:space="preserve">Lecturer</w:t>
      </w:r>
      <w:r>
        <w:rPr>
          <w:rFonts w:ascii="Cambria" w:cs="Cambria" w:eastAsia="Cambria" w:hAnsi="Cambria"/>
          <w:i w:val="false"/>
          <w:iCs w:val="false"/>
          <w:color w:val="1A1A1A"/>
          <w:sz w:val="20"/>
          <w:szCs w:val="20"/>
        </w:rPr>
        <w:t xml:space="preserve"> — Butler University, Department of Communication</w:t>
      </w:r>
      <w:r>
        <w:tab/>
      </w:r>
      <w:r>
        <w:rPr>
          <w:rFonts w:ascii="Calibri" w:cs="Calibri" w:eastAsia="Calibri" w:hAnsi="Calibri"/>
          <w:i w:val="false"/>
          <w:iCs w:val="false"/>
          <w:color w:val="5C5C5C"/>
          <w:sz w:val="19"/>
          <w:szCs w:val="19"/>
        </w:rPr>
        <w:t xml:space="preserve">2023–2024</w:t>
      </w:r>
    </w:p>
    <w:p>
      <w:pPr>
        <w:tabs>
          <w:tab w:val="right" w:pos="9648"/>
        </w:tabs>
        <w:spacing w:after="8" w:before="70"/>
      </w:pPr>
      <w:r>
        <w:rPr>
          <w:rFonts w:ascii="Cambria" w:cs="Cambria" w:eastAsia="Cambria" w:hAnsi="Cambria"/>
          <w:b/>
          <w:bCs/>
          <w:i w:val="false"/>
          <w:iCs w:val="false"/>
          <w:color w:val="1A1A1A"/>
          <w:sz w:val="20"/>
          <w:szCs w:val="20"/>
        </w:rPr>
        <w:t xml:space="preserve">Instructor of Record</w:t>
      </w:r>
      <w:r>
        <w:rPr>
          <w:rFonts w:ascii="Cambria" w:cs="Cambria" w:eastAsia="Cambria" w:hAnsi="Cambria"/>
          <w:i w:val="false"/>
          <w:iCs w:val="false"/>
          <w:color w:val="1A1A1A"/>
          <w:sz w:val="20"/>
          <w:szCs w:val="20"/>
        </w:rPr>
        <w:t xml:space="preserve"> — Georgia State University, Department of Communication</w:t>
      </w:r>
      <w:r>
        <w:tab/>
      </w:r>
      <w:r>
        <w:rPr>
          <w:rFonts w:ascii="Calibri" w:cs="Calibri" w:eastAsia="Calibri" w:hAnsi="Calibri"/>
          <w:i w:val="false"/>
          <w:iCs w:val="false"/>
          <w:color w:val="5C5C5C"/>
          <w:sz w:val="19"/>
          <w:szCs w:val="19"/>
        </w:rPr>
        <w:t xml:space="preserve">2017–2023</w:t>
      </w:r>
    </w:p>
    <w:p>
      <w:pPr>
        <w:tabs>
          <w:tab w:val="right" w:pos="9648"/>
        </w:tabs>
        <w:spacing w:after="8" w:before="70"/>
      </w:pPr>
      <w:r>
        <w:rPr>
          <w:rFonts w:ascii="Cambria" w:cs="Cambria" w:eastAsia="Cambria" w:hAnsi="Cambria"/>
          <w:b/>
          <w:bCs/>
          <w:i w:val="false"/>
          <w:iCs w:val="false"/>
          <w:color w:val="1A1A1A"/>
          <w:sz w:val="20"/>
          <w:szCs w:val="20"/>
        </w:rPr>
        <w:t xml:space="preserve">Online Lecturer</w:t>
      </w:r>
      <w:r>
        <w:rPr>
          <w:rFonts w:ascii="Cambria" w:cs="Cambria" w:eastAsia="Cambria" w:hAnsi="Cambria"/>
          <w:i w:val="false"/>
          <w:iCs w:val="false"/>
          <w:color w:val="1A1A1A"/>
          <w:sz w:val="20"/>
          <w:szCs w:val="20"/>
        </w:rPr>
        <w:t xml:space="preserve"> — MENTEE Korea / Cebu University, Philippines (American Government)</w:t>
      </w:r>
      <w:r>
        <w:tab/>
      </w:r>
      <w:r>
        <w:rPr>
          <w:rFonts w:ascii="Calibri" w:cs="Calibri" w:eastAsia="Calibri" w:hAnsi="Calibri"/>
          <w:i w:val="false"/>
          <w:iCs w:val="false"/>
          <w:color w:val="5C5C5C"/>
          <w:sz w:val="19"/>
          <w:szCs w:val="19"/>
        </w:rPr>
        <w:t xml:space="preserve">2025</w:t>
      </w:r>
    </w:p>
    <w:p>
      <w:pPr>
        <w:tabs>
          <w:tab w:val="right" w:pos="9648"/>
        </w:tabs>
        <w:spacing w:after="8" w:before="70"/>
      </w:pPr>
      <w:r>
        <w:rPr>
          <w:rFonts w:ascii="Cambria" w:cs="Cambria" w:eastAsia="Cambria" w:hAnsi="Cambria"/>
          <w:b/>
          <w:bCs/>
          <w:i w:val="false"/>
          <w:iCs w:val="false"/>
          <w:color w:val="1A1A1A"/>
          <w:sz w:val="20"/>
          <w:szCs w:val="20"/>
        </w:rPr>
        <w:t xml:space="preserve">Graduate Teaching Assistant</w:t>
      </w:r>
      <w:r>
        <w:rPr>
          <w:rFonts w:ascii="Cambria" w:cs="Cambria" w:eastAsia="Cambria" w:hAnsi="Cambria"/>
          <w:i w:val="false"/>
          <w:iCs w:val="false"/>
          <w:color w:val="1A1A1A"/>
          <w:sz w:val="20"/>
          <w:szCs w:val="20"/>
        </w:rPr>
        <w:t xml:space="preserve"> — University of Louisiana at Lafayette</w:t>
      </w:r>
      <w:r>
        <w:tab/>
      </w:r>
      <w:r>
        <w:rPr>
          <w:rFonts w:ascii="Calibri" w:cs="Calibri" w:eastAsia="Calibri" w:hAnsi="Calibri"/>
          <w:i w:val="false"/>
          <w:iCs w:val="false"/>
          <w:color w:val="5C5C5C"/>
          <w:sz w:val="19"/>
          <w:szCs w:val="19"/>
        </w:rPr>
        <w:t xml:space="preserve">2012–2016</w:t>
      </w:r>
    </w:p>
    <w:p>
      <w:pPr>
        <w:pBdr>
          <w:bottom w:val="single" w:color="23395B" w:sz="8" w:space="3"/>
        </w:pBdr>
        <w:spacing w:after="90" w:before="240"/>
      </w:pPr>
      <w:r>
        <w:rPr>
          <w:rFonts w:ascii="Calibri" w:cs="Calibri" w:eastAsia="Calibri" w:hAnsi="Calibri"/>
          <w:b/>
          <w:bCs/>
          <w:color w:val="23395B"/>
          <w:spacing w:val="36"/>
          <w:sz w:val="21"/>
          <w:szCs w:val="21"/>
        </w:rPr>
        <w:t xml:space="preserve">RESEARCH EXPERIENCE</w:t>
      </w:r>
    </w:p>
    <w:p>
      <w:pPr>
        <w:tabs>
          <w:tab w:val="right" w:pos="9648"/>
        </w:tabs>
        <w:spacing w:after="8" w:before="70"/>
      </w:pPr>
      <w:r>
        <w:rPr>
          <w:rFonts w:ascii="Cambria" w:cs="Cambria" w:eastAsia="Cambria" w:hAnsi="Cambria"/>
          <w:b/>
          <w:bCs/>
          <w:i w:val="false"/>
          <w:iCs w:val="false"/>
          <w:color w:val="1A1A1A"/>
          <w:sz w:val="20"/>
          <w:szCs w:val="20"/>
        </w:rPr>
        <w:t xml:space="preserve">Research Assistant</w:t>
      </w:r>
      <w:r>
        <w:rPr>
          <w:rFonts w:ascii="Cambria" w:cs="Cambria" w:eastAsia="Cambria" w:hAnsi="Cambria"/>
          <w:i w:val="false"/>
          <w:iCs w:val="false"/>
          <w:color w:val="1A1A1A"/>
          <w:sz w:val="20"/>
          <w:szCs w:val="20"/>
        </w:rPr>
        <w:t xml:space="preserve"> — Dr. Dror Walter, Georgia State University</w:t>
      </w:r>
      <w:r>
        <w:tab/>
      </w:r>
      <w:r>
        <w:rPr>
          <w:rFonts w:ascii="Calibri" w:cs="Calibri" w:eastAsia="Calibri" w:hAnsi="Calibri"/>
          <w:i w:val="false"/>
          <w:iCs w:val="false"/>
          <w:color w:val="5C5C5C"/>
          <w:sz w:val="19"/>
          <w:szCs w:val="19"/>
        </w:rPr>
        <w:t xml:space="preserve">2022–2023</w:t>
      </w:r>
    </w:p>
    <w:p>
      <w:pPr>
        <w:spacing w:after="50"/>
        <w:ind/>
      </w:pPr>
      <w:r>
        <w:rPr>
          <w:rFonts w:ascii="Cambria" w:cs="Cambria" w:eastAsia="Cambria" w:hAnsi="Cambria"/>
          <w:i/>
          <w:iCs/>
          <w:color w:val="1A1A1A"/>
          <w:sz w:val="19"/>
          <w:szCs w:val="19"/>
        </w:rPr>
        <w:t xml:space="preserve">Computational analysis of foreign news framing in U.S. media.</w:t>
      </w:r>
    </w:p>
    <w:p>
      <w:pPr>
        <w:tabs>
          <w:tab w:val="right" w:pos="9648"/>
        </w:tabs>
        <w:spacing w:after="8" w:before="70"/>
      </w:pPr>
      <w:r>
        <w:rPr>
          <w:rFonts w:ascii="Cambria" w:cs="Cambria" w:eastAsia="Cambria" w:hAnsi="Cambria"/>
          <w:b/>
          <w:bCs/>
          <w:i w:val="false"/>
          <w:iCs w:val="false"/>
          <w:color w:val="1A1A1A"/>
          <w:sz w:val="20"/>
          <w:szCs w:val="20"/>
        </w:rPr>
        <w:t xml:space="preserve">Research Assistant</w:t>
      </w:r>
      <w:r>
        <w:rPr>
          <w:rFonts w:ascii="Cambria" w:cs="Cambria" w:eastAsia="Cambria" w:hAnsi="Cambria"/>
          <w:i w:val="false"/>
          <w:iCs w:val="false"/>
          <w:color w:val="1A1A1A"/>
          <w:sz w:val="20"/>
          <w:szCs w:val="20"/>
        </w:rPr>
        <w:t xml:space="preserve"> — Dr. Carol Winkler (PI: Tony Lemieux), AFOSR / Minerva Initiative, GSU</w:t>
      </w:r>
      <w:r>
        <w:tab/>
      </w:r>
      <w:r>
        <w:rPr>
          <w:rFonts w:ascii="Calibri" w:cs="Calibri" w:eastAsia="Calibri" w:hAnsi="Calibri"/>
          <w:i w:val="false"/>
          <w:iCs w:val="false"/>
          <w:color w:val="5C5C5C"/>
          <w:sz w:val="19"/>
          <w:szCs w:val="19"/>
        </w:rPr>
        <w:t xml:space="preserve">2015–2017</w:t>
      </w:r>
    </w:p>
    <w:p>
      <w:pPr>
        <w:spacing w:after="50"/>
        <w:ind/>
      </w:pPr>
      <w:r>
        <w:rPr>
          <w:rFonts w:ascii="Cambria" w:cs="Cambria" w:eastAsia="Cambria" w:hAnsi="Cambria"/>
          <w:i/>
          <w:iCs/>
          <w:color w:val="1A1A1A"/>
          <w:sz w:val="19"/>
          <w:szCs w:val="19"/>
        </w:rPr>
        <w:t xml:space="preserve">DOD-funded multimodal analysis of extremist media across formats (magazines, music, videos).</w:t>
      </w:r>
    </w:p>
    <w:p>
      <w:pPr>
        <w:pBdr>
          <w:bottom w:val="single" w:color="23395B" w:sz="8" w:space="3"/>
        </w:pBdr>
        <w:spacing w:after="90" w:before="240"/>
      </w:pPr>
      <w:r>
        <w:rPr>
          <w:rFonts w:ascii="Calibri" w:cs="Calibri" w:eastAsia="Calibri" w:hAnsi="Calibri"/>
          <w:b/>
          <w:bCs/>
          <w:color w:val="23395B"/>
          <w:spacing w:val="36"/>
          <w:sz w:val="21"/>
          <w:szCs w:val="21"/>
        </w:rPr>
        <w:t xml:space="preserve">TEACHING PORTFOLIO</w:t>
      </w:r>
    </w:p>
    <w:p>
      <w:pPr>
        <w:spacing w:after="40"/>
      </w:pPr>
      <w:r>
        <w:rPr>
          <w:rFonts w:ascii="Cambria" w:cs="Cambria" w:eastAsia="Cambria" w:hAnsi="Cambria"/>
          <w:i/>
          <w:iCs/>
          <w:color w:val="5C5C5C"/>
          <w:sz w:val="19"/>
          <w:szCs w:val="19"/>
        </w:rPr>
        <w:t xml:space="preserve">Courses taught across four universities, three countries, and multiple delivery formats (face-to-face, online, hybrid) — spanning media theory, journalism, communication law, public speaking, and international education.</w:t>
      </w:r>
    </w:p>
    <w:p>
      <w:pPr>
        <w:spacing w:after="40" w:before="150"/>
      </w:pPr>
      <w:r>
        <w:rPr>
          <w:rFonts w:ascii="Calibri" w:cs="Calibri" w:eastAsia="Calibri" w:hAnsi="Calibri"/>
          <w:b/>
          <w:bCs/>
          <w:color w:val="1A1A1A"/>
          <w:spacing w:val="16"/>
          <w:sz w:val="19"/>
          <w:szCs w:val="19"/>
        </w:rPr>
        <w:t xml:space="preserve">Upper-Division &amp; Specialty Courses</w:t>
      </w:r>
    </w:p>
    <w:p>
      <w:pPr>
        <w:tabs>
          <w:tab w:val="right" w:pos="9648"/>
        </w:tabs>
        <w:spacing w:after="8" w:before="70"/>
      </w:pPr>
      <w:r>
        <w:rPr>
          <w:rFonts w:ascii="Cambria" w:cs="Cambria" w:eastAsia="Cambria" w:hAnsi="Cambria"/>
          <w:i w:val="false"/>
          <w:iCs w:val="false"/>
          <w:color w:val="1A1A1A"/>
          <w:sz w:val="19"/>
          <w:szCs w:val="19"/>
        </w:rPr>
        <w:t xml:space="preserve">Sports, Media, and Society (CCOM 446)</w:t>
      </w:r>
      <w:r>
        <w:tab/>
      </w:r>
      <w:r>
        <w:rPr>
          <w:rFonts w:ascii="Calibri" w:cs="Calibri" w:eastAsia="Calibri" w:hAnsi="Calibri"/>
          <w:i w:val="false"/>
          <w:iCs w:val="false"/>
          <w:color w:val="5C5C5C"/>
          <w:sz w:val="19"/>
          <w:szCs w:val="19"/>
        </w:rPr>
        <w:t xml:space="preserve">Butler University</w:t>
      </w:r>
    </w:p>
    <w:p>
      <w:pPr>
        <w:tabs>
          <w:tab w:val="right" w:pos="9648"/>
        </w:tabs>
        <w:spacing w:after="8" w:before="70"/>
      </w:pPr>
      <w:r>
        <w:rPr>
          <w:rFonts w:ascii="Cambria" w:cs="Cambria" w:eastAsia="Cambria" w:hAnsi="Cambria"/>
          <w:i w:val="false"/>
          <w:iCs w:val="false"/>
          <w:color w:val="1A1A1A"/>
          <w:sz w:val="19"/>
          <w:szCs w:val="19"/>
        </w:rPr>
        <w:t xml:space="preserve">Media and Cultural Theory (CCOM 336)</w:t>
      </w:r>
      <w:r>
        <w:tab/>
      </w:r>
      <w:r>
        <w:rPr>
          <w:rFonts w:ascii="Calibri" w:cs="Calibri" w:eastAsia="Calibri" w:hAnsi="Calibri"/>
          <w:i w:val="false"/>
          <w:iCs w:val="false"/>
          <w:color w:val="5C5C5C"/>
          <w:sz w:val="19"/>
          <w:szCs w:val="19"/>
        </w:rPr>
        <w:t xml:space="preserve">Butler University</w:t>
      </w:r>
    </w:p>
    <w:p>
      <w:pPr>
        <w:tabs>
          <w:tab w:val="right" w:pos="9648"/>
        </w:tabs>
        <w:spacing w:after="8" w:before="70"/>
      </w:pPr>
      <w:r>
        <w:rPr>
          <w:rFonts w:ascii="Cambria" w:cs="Cambria" w:eastAsia="Cambria" w:hAnsi="Cambria"/>
          <w:i w:val="false"/>
          <w:iCs w:val="false"/>
          <w:color w:val="1A1A1A"/>
          <w:sz w:val="19"/>
          <w:szCs w:val="19"/>
        </w:rPr>
        <w:t xml:space="preserve">Visual Communication (JOUR/SCOM 4500)</w:t>
      </w:r>
      <w:r>
        <w:tab/>
      </w:r>
      <w:r>
        <w:rPr>
          <w:rFonts w:ascii="Calibri" w:cs="Calibri" w:eastAsia="Calibri" w:hAnsi="Calibri"/>
          <w:i w:val="false"/>
          <w:iCs w:val="false"/>
          <w:color w:val="5C5C5C"/>
          <w:sz w:val="19"/>
          <w:szCs w:val="19"/>
        </w:rPr>
        <w:t xml:space="preserve">Georgia State University</w:t>
      </w:r>
    </w:p>
    <w:p>
      <w:pPr>
        <w:tabs>
          <w:tab w:val="right" w:pos="9648"/>
        </w:tabs>
        <w:spacing w:after="8" w:before="70"/>
      </w:pPr>
      <w:r>
        <w:rPr>
          <w:rFonts w:ascii="Cambria" w:cs="Cambria" w:eastAsia="Cambria" w:hAnsi="Cambria"/>
          <w:i w:val="false"/>
          <w:iCs w:val="false"/>
          <w:color w:val="1A1A1A"/>
          <w:sz w:val="19"/>
          <w:szCs w:val="19"/>
        </w:rPr>
        <w:t xml:space="preserve">Communication Law and Regulation (JOUR 3060)</w:t>
      </w:r>
      <w:r>
        <w:tab/>
      </w:r>
      <w:r>
        <w:rPr>
          <w:rFonts w:ascii="Calibri" w:cs="Calibri" w:eastAsia="Calibri" w:hAnsi="Calibri"/>
          <w:i w:val="false"/>
          <w:iCs w:val="false"/>
          <w:color w:val="5C5C5C"/>
          <w:sz w:val="19"/>
          <w:szCs w:val="19"/>
        </w:rPr>
        <w:t xml:space="preserve">Georgia State University</w:t>
      </w:r>
    </w:p>
    <w:p>
      <w:pPr>
        <w:tabs>
          <w:tab w:val="right" w:pos="9648"/>
        </w:tabs>
        <w:spacing w:after="8" w:before="70"/>
      </w:pPr>
      <w:r>
        <w:rPr>
          <w:rFonts w:ascii="Cambria" w:cs="Cambria" w:eastAsia="Cambria" w:hAnsi="Cambria"/>
          <w:i w:val="false"/>
          <w:iCs w:val="false"/>
          <w:color w:val="1A1A1A"/>
          <w:sz w:val="19"/>
          <w:szCs w:val="19"/>
        </w:rPr>
        <w:t xml:space="preserve">Media, Culture, and Society (SCOM 2050)</w:t>
      </w:r>
      <w:r>
        <w:tab/>
      </w:r>
      <w:r>
        <w:rPr>
          <w:rFonts w:ascii="Calibri" w:cs="Calibri" w:eastAsia="Calibri" w:hAnsi="Calibri"/>
          <w:i w:val="false"/>
          <w:iCs w:val="false"/>
          <w:color w:val="5C5C5C"/>
          <w:sz w:val="19"/>
          <w:szCs w:val="19"/>
        </w:rPr>
        <w:t xml:space="preserve">Georgia State University</w:t>
      </w:r>
    </w:p>
    <w:p>
      <w:pPr>
        <w:tabs>
          <w:tab w:val="right" w:pos="9648"/>
        </w:tabs>
        <w:spacing w:after="8" w:before="70"/>
      </w:pPr>
      <w:r>
        <w:rPr>
          <w:rFonts w:ascii="Cambria" w:cs="Cambria" w:eastAsia="Cambria" w:hAnsi="Cambria"/>
          <w:i w:val="false"/>
          <w:iCs w:val="false"/>
          <w:color w:val="1A1A1A"/>
          <w:sz w:val="19"/>
          <w:szCs w:val="19"/>
        </w:rPr>
        <w:t xml:space="preserve">Media Literacy (CCOM 226)</w:t>
      </w:r>
      <w:r>
        <w:tab/>
      </w:r>
      <w:r>
        <w:rPr>
          <w:rFonts w:ascii="Calibri" w:cs="Calibri" w:eastAsia="Calibri" w:hAnsi="Calibri"/>
          <w:i w:val="false"/>
          <w:iCs w:val="false"/>
          <w:color w:val="5C5C5C"/>
          <w:sz w:val="19"/>
          <w:szCs w:val="19"/>
        </w:rPr>
        <w:t xml:space="preserve">Butler University</w:t>
      </w:r>
    </w:p>
    <w:p>
      <w:pPr>
        <w:spacing w:after="40" w:before="150"/>
      </w:pPr>
      <w:r>
        <w:rPr>
          <w:rFonts w:ascii="Calibri" w:cs="Calibri" w:eastAsia="Calibri" w:hAnsi="Calibri"/>
          <w:b/>
          <w:bCs/>
          <w:color w:val="1A1A1A"/>
          <w:spacing w:val="16"/>
          <w:sz w:val="19"/>
          <w:szCs w:val="19"/>
        </w:rPr>
        <w:t xml:space="preserve">Journalism</w:t>
      </w:r>
    </w:p>
    <w:p>
      <w:pPr>
        <w:tabs>
          <w:tab w:val="right" w:pos="9648"/>
        </w:tabs>
        <w:spacing w:after="8" w:before="70"/>
      </w:pPr>
      <w:r>
        <w:rPr>
          <w:rFonts w:ascii="Cambria" w:cs="Cambria" w:eastAsia="Cambria" w:hAnsi="Cambria"/>
          <w:i w:val="false"/>
          <w:iCs w:val="false"/>
          <w:color w:val="1A1A1A"/>
          <w:sz w:val="19"/>
          <w:szCs w:val="19"/>
        </w:rPr>
        <w:t xml:space="preserve">Honors Newswriting (JOUR 1020)</w:t>
      </w:r>
      <w:r>
        <w:tab/>
      </w:r>
      <w:r>
        <w:rPr>
          <w:rFonts w:ascii="Calibri" w:cs="Calibri" w:eastAsia="Calibri" w:hAnsi="Calibri"/>
          <w:i w:val="false"/>
          <w:iCs w:val="false"/>
          <w:color w:val="5C5C5C"/>
          <w:sz w:val="19"/>
          <w:szCs w:val="19"/>
        </w:rPr>
        <w:t xml:space="preserve">Georgia State University</w:t>
      </w:r>
    </w:p>
    <w:p>
      <w:pPr>
        <w:tabs>
          <w:tab w:val="right" w:pos="9648"/>
        </w:tabs>
        <w:spacing w:after="8" w:before="70"/>
      </w:pPr>
      <w:r>
        <w:rPr>
          <w:rFonts w:ascii="Cambria" w:cs="Cambria" w:eastAsia="Cambria" w:hAnsi="Cambria"/>
          <w:i w:val="false"/>
          <w:iCs w:val="false"/>
          <w:color w:val="1A1A1A"/>
          <w:sz w:val="19"/>
          <w:szCs w:val="19"/>
        </w:rPr>
        <w:t xml:space="preserve">Basic Newswriting (JOUR 1010)</w:t>
      </w:r>
      <w:r>
        <w:tab/>
      </w:r>
      <w:r>
        <w:rPr>
          <w:rFonts w:ascii="Calibri" w:cs="Calibri" w:eastAsia="Calibri" w:hAnsi="Calibri"/>
          <w:i w:val="false"/>
          <w:iCs w:val="false"/>
          <w:color w:val="5C5C5C"/>
          <w:sz w:val="19"/>
          <w:szCs w:val="19"/>
        </w:rPr>
        <w:t xml:space="preserve">Georgia State University</w:t>
      </w:r>
    </w:p>
    <w:p>
      <w:pPr>
        <w:tabs>
          <w:tab w:val="right" w:pos="9648"/>
        </w:tabs>
        <w:spacing w:after="8" w:before="70"/>
      </w:pPr>
      <w:r>
        <w:rPr>
          <w:rFonts w:ascii="Cambria" w:cs="Cambria" w:eastAsia="Cambria" w:hAnsi="Cambria"/>
          <w:i w:val="false"/>
          <w:iCs w:val="false"/>
          <w:color w:val="1A1A1A"/>
          <w:sz w:val="19"/>
          <w:szCs w:val="19"/>
        </w:rPr>
        <w:t xml:space="preserve">Introduction to Journalism (JOUR 1000)</w:t>
      </w:r>
      <w:r>
        <w:tab/>
      </w:r>
      <w:r>
        <w:rPr>
          <w:rFonts w:ascii="Calibri" w:cs="Calibri" w:eastAsia="Calibri" w:hAnsi="Calibri"/>
          <w:i w:val="false"/>
          <w:iCs w:val="false"/>
          <w:color w:val="5C5C5C"/>
          <w:sz w:val="19"/>
          <w:szCs w:val="19"/>
        </w:rPr>
        <w:t xml:space="preserve">Georgia State University</w:t>
      </w:r>
    </w:p>
    <w:p>
      <w:pPr>
        <w:spacing w:after="40" w:before="150"/>
      </w:pPr>
      <w:r>
        <w:rPr>
          <w:rFonts w:ascii="Calibri" w:cs="Calibri" w:eastAsia="Calibri" w:hAnsi="Calibri"/>
          <w:b/>
          <w:bCs/>
          <w:color w:val="1A1A1A"/>
          <w:spacing w:val="16"/>
          <w:sz w:val="19"/>
          <w:szCs w:val="19"/>
        </w:rPr>
        <w:t xml:space="preserve">Foundational Communication</w:t>
      </w:r>
    </w:p>
    <w:p>
      <w:pPr>
        <w:tabs>
          <w:tab w:val="right" w:pos="9648"/>
        </w:tabs>
        <w:spacing w:after="8" w:before="70"/>
      </w:pPr>
      <w:r>
        <w:rPr>
          <w:rFonts w:ascii="Cambria" w:cs="Cambria" w:eastAsia="Cambria" w:hAnsi="Cambria"/>
          <w:i w:val="false"/>
          <w:iCs w:val="false"/>
          <w:color w:val="1A1A1A"/>
          <w:sz w:val="19"/>
          <w:szCs w:val="19"/>
        </w:rPr>
        <w:t xml:space="preserve">Public Speaking (SCOM 1500)</w:t>
      </w:r>
      <w:r>
        <w:tab/>
      </w:r>
      <w:r>
        <w:rPr>
          <w:rFonts w:ascii="Calibri" w:cs="Calibri" w:eastAsia="Calibri" w:hAnsi="Calibri"/>
          <w:i w:val="false"/>
          <w:iCs w:val="false"/>
          <w:color w:val="5C5C5C"/>
          <w:sz w:val="19"/>
          <w:szCs w:val="19"/>
        </w:rPr>
        <w:t xml:space="preserve">Georgia State University</w:t>
      </w:r>
    </w:p>
    <w:p>
      <w:pPr>
        <w:tabs>
          <w:tab w:val="right" w:pos="9648"/>
        </w:tabs>
        <w:spacing w:after="8" w:before="70"/>
      </w:pPr>
      <w:r>
        <w:rPr>
          <w:rFonts w:ascii="Cambria" w:cs="Cambria" w:eastAsia="Cambria" w:hAnsi="Cambria"/>
          <w:i w:val="false"/>
          <w:iCs w:val="false"/>
          <w:color w:val="1A1A1A"/>
          <w:sz w:val="19"/>
          <w:szCs w:val="19"/>
        </w:rPr>
        <w:t xml:space="preserve">Introduction to Human Communication (SCOM 1000)</w:t>
      </w:r>
      <w:r>
        <w:tab/>
      </w:r>
      <w:r>
        <w:rPr>
          <w:rFonts w:ascii="Calibri" w:cs="Calibri" w:eastAsia="Calibri" w:hAnsi="Calibri"/>
          <w:i w:val="false"/>
          <w:iCs w:val="false"/>
          <w:color w:val="5C5C5C"/>
          <w:sz w:val="19"/>
          <w:szCs w:val="19"/>
        </w:rPr>
        <w:t xml:space="preserve">Georgia State University</w:t>
      </w:r>
    </w:p>
    <w:p>
      <w:pPr>
        <w:tabs>
          <w:tab w:val="right" w:pos="9648"/>
        </w:tabs>
        <w:spacing w:after="8" w:before="70"/>
      </w:pPr>
      <w:r>
        <w:rPr>
          <w:rFonts w:ascii="Cambria" w:cs="Cambria" w:eastAsia="Cambria" w:hAnsi="Cambria"/>
          <w:i w:val="false"/>
          <w:iCs w:val="false"/>
          <w:color w:val="1A1A1A"/>
          <w:sz w:val="19"/>
          <w:szCs w:val="19"/>
        </w:rPr>
        <w:t xml:space="preserve">Introduction to Human Communication (HCOM 1000)</w:t>
      </w:r>
      <w:r>
        <w:tab/>
      </w:r>
      <w:r>
        <w:rPr>
          <w:rFonts w:ascii="Calibri" w:cs="Calibri" w:eastAsia="Calibri" w:hAnsi="Calibri"/>
          <w:i w:val="false"/>
          <w:iCs w:val="false"/>
          <w:color w:val="5C5C5C"/>
          <w:sz w:val="19"/>
          <w:szCs w:val="19"/>
        </w:rPr>
        <w:t xml:space="preserve">U. of Louisiana–Lafayette</w:t>
      </w:r>
    </w:p>
    <w:p>
      <w:pPr>
        <w:tabs>
          <w:tab w:val="right" w:pos="9648"/>
        </w:tabs>
        <w:spacing w:after="8" w:before="70"/>
      </w:pPr>
      <w:r>
        <w:rPr>
          <w:rFonts w:ascii="Cambria" w:cs="Cambria" w:eastAsia="Cambria" w:hAnsi="Cambria"/>
          <w:i w:val="false"/>
          <w:iCs w:val="false"/>
          <w:color w:val="1A1A1A"/>
          <w:sz w:val="19"/>
          <w:szCs w:val="19"/>
        </w:rPr>
        <w:t xml:space="preserve">Parliamentary Debate Preparation Coach</w:t>
      </w:r>
      <w:r>
        <w:tab/>
      </w:r>
      <w:r>
        <w:rPr>
          <w:rFonts w:ascii="Calibri" w:cs="Calibri" w:eastAsia="Calibri" w:hAnsi="Calibri"/>
          <w:i w:val="false"/>
          <w:iCs w:val="false"/>
          <w:color w:val="5C5C5C"/>
          <w:sz w:val="19"/>
          <w:szCs w:val="19"/>
        </w:rPr>
        <w:t xml:space="preserve">U. of Louisiana–Lafayette · 2014</w:t>
      </w:r>
    </w:p>
    <w:p>
      <w:pPr>
        <w:spacing w:after="40" w:before="150"/>
      </w:pPr>
      <w:r>
        <w:rPr>
          <w:rFonts w:ascii="Calibri" w:cs="Calibri" w:eastAsia="Calibri" w:hAnsi="Calibri"/>
          <w:b/>
          <w:bCs/>
          <w:color w:val="1A1A1A"/>
          <w:spacing w:val="16"/>
          <w:sz w:val="19"/>
          <w:szCs w:val="19"/>
        </w:rPr>
        <w:t xml:space="preserve">International Teaching</w:t>
      </w:r>
    </w:p>
    <w:p>
      <w:pPr>
        <w:spacing w:after="30"/>
        <w:ind/>
      </w:pPr>
      <w:r>
        <w:rPr>
          <w:rFonts w:ascii="Cambria" w:cs="Cambria" w:eastAsia="Cambria" w:hAnsi="Cambria"/>
          <w:i w:val="false"/>
          <w:iCs w:val="false"/>
          <w:color w:val="1A1A1A"/>
          <w:sz w:val="19"/>
          <w:szCs w:val="19"/>
        </w:rPr>
        <w:t xml:space="preserve">American Government — MENTEE Korea / Cebu University, Philippines (Online, 2025)</w:t>
      </w:r>
    </w:p>
    <w:p>
      <w:pPr>
        <w:spacing w:after="30"/>
        <w:ind/>
      </w:pPr>
      <w:r>
        <w:rPr>
          <w:rFonts w:ascii="Cambria" w:cs="Cambria" w:eastAsia="Cambria" w:hAnsi="Cambria"/>
          <w:i w:val="false"/>
          <w:iCs w:val="false"/>
          <w:color w:val="1A1A1A"/>
          <w:sz w:val="19"/>
          <w:szCs w:val="19"/>
        </w:rPr>
        <w:t xml:space="preserve">English as a Foreign Language — Synergy English Institute, Kaohsiung, Taiwan (2020)</w:t>
      </w:r>
    </w:p>
    <w:p>
      <w:pPr>
        <w:spacing w:after="30"/>
        <w:ind/>
      </w:pPr>
      <w:r>
        <w:rPr>
          <w:rFonts w:ascii="Cambria" w:cs="Cambria" w:eastAsia="Cambria" w:hAnsi="Cambria"/>
          <w:i w:val="false"/>
          <w:iCs w:val="false"/>
          <w:color w:val="1A1A1A"/>
          <w:sz w:val="19"/>
          <w:szCs w:val="19"/>
        </w:rPr>
        <w:t xml:space="preserve">English as a Foreign Language — Genius English, Xiaogang, Taiwan (2020)</w:t>
      </w:r>
    </w:p>
    <w:p>
      <w:pPr>
        <w:spacing w:after="30"/>
        <w:ind/>
      </w:pPr>
      <w:r>
        <w:rPr>
          <w:rFonts w:ascii="Cambria" w:cs="Cambria" w:eastAsia="Cambria" w:hAnsi="Cambria"/>
          <w:i w:val="false"/>
          <w:iCs w:val="false"/>
          <w:color w:val="1A1A1A"/>
          <w:sz w:val="19"/>
          <w:szCs w:val="19"/>
        </w:rPr>
        <w:t xml:space="preserve">English as a Foreign Language — ECC English Academy, Gumi, South Korea (2010)</w:t>
      </w:r>
    </w:p>
    <w:p>
      <w:pPr>
        <w:spacing w:after="50"/>
        <w:ind/>
      </w:pPr>
      <w:r>
        <w:rPr>
          <w:rFonts w:ascii="Cambria" w:cs="Cambria" w:eastAsia="Cambria" w:hAnsi="Cambria"/>
          <w:i w:val="false"/>
          <w:iCs w:val="false"/>
          <w:color w:val="1A1A1A"/>
          <w:sz w:val="19"/>
          <w:szCs w:val="19"/>
        </w:rPr>
        <w:t xml:space="preserve">Montessori Advanced Methods Assistant — Ashton Grace Montessori, Lafayette, LA (2015–2016)</w:t>
      </w:r>
    </w:p>
    <w:p>
      <w:pPr>
        <w:pBdr>
          <w:bottom w:val="single" w:color="23395B" w:sz="8" w:space="3"/>
        </w:pBdr>
        <w:spacing w:after="90" w:before="240"/>
      </w:pPr>
      <w:r>
        <w:rPr>
          <w:rFonts w:ascii="Calibri" w:cs="Calibri" w:eastAsia="Calibri" w:hAnsi="Calibri"/>
          <w:b/>
          <w:bCs/>
          <w:color w:val="23395B"/>
          <w:spacing w:val="36"/>
          <w:sz w:val="21"/>
          <w:szCs w:val="21"/>
        </w:rPr>
        <w:t xml:space="preserve">PUBLICATIONS</w:t>
      </w:r>
    </w:p>
    <w:p>
      <w:pPr>
        <w:spacing w:after="40" w:before="150"/>
      </w:pPr>
      <w:r>
        <w:rPr>
          <w:rFonts w:ascii="Calibri" w:cs="Calibri" w:eastAsia="Calibri" w:hAnsi="Calibri"/>
          <w:b/>
          <w:bCs/>
          <w:color w:val="1A1A1A"/>
          <w:spacing w:val="16"/>
          <w:sz w:val="19"/>
          <w:szCs w:val="19"/>
        </w:rPr>
        <w:t xml:space="preserve">Book Chapters</w:t>
      </w:r>
    </w:p>
    <w:p>
      <w:pPr>
        <w:spacing w:after="90"/>
        <w:ind w:left="360" w:hanging="360"/>
      </w:pPr>
      <w:r>
        <w:rPr>
          <w:rFonts w:ascii="Cambria" w:cs="Cambria" w:eastAsia="Cambria" w:hAnsi="Cambria"/>
          <w:i w:val="false"/>
          <w:iCs w:val="false"/>
          <w:color w:val="1A1A1A"/>
          <w:sz w:val="19"/>
          <w:szCs w:val="19"/>
        </w:rPr>
        <w:t xml:space="preserve">Gautreaux, R. J. (in press). Parasocial shielding: A computational analysis of audience defense in celebrity controversy. In </w:t>
      </w:r>
      <w:r>
        <w:rPr>
          <w:rFonts w:ascii="Cambria" w:cs="Cambria" w:eastAsia="Cambria" w:hAnsi="Cambria"/>
          <w:i/>
          <w:iCs/>
          <w:color w:val="1A1A1A"/>
          <w:sz w:val="19"/>
          <w:szCs w:val="19"/>
        </w:rPr>
        <w:t xml:space="preserve">Para-Social Media: A New Era of Parasocial Interaction and Media Evolution</w:t>
      </w:r>
      <w:r>
        <w:rPr>
          <w:rFonts w:ascii="Cambria" w:cs="Cambria" w:eastAsia="Cambria" w:hAnsi="Cambria"/>
          <w:i w:val="false"/>
          <w:iCs w:val="false"/>
          <w:color w:val="1A1A1A"/>
          <w:sz w:val="19"/>
          <w:szCs w:val="19"/>
        </w:rPr>
        <w:t xml:space="preserve">. Lexington Books / Rowman &amp; Littlefield, 2026.</w:t>
      </w:r>
    </w:p>
    <w:p>
      <w:pPr>
        <w:spacing w:after="40" w:before="150"/>
      </w:pPr>
      <w:r>
        <w:rPr>
          <w:rFonts w:ascii="Calibri" w:cs="Calibri" w:eastAsia="Calibri" w:hAnsi="Calibri"/>
          <w:b/>
          <w:bCs/>
          <w:color w:val="1A1A1A"/>
          <w:spacing w:val="16"/>
          <w:sz w:val="19"/>
          <w:szCs w:val="19"/>
        </w:rPr>
        <w:t xml:space="preserve">Journal Articles</w:t>
      </w:r>
    </w:p>
    <w:p>
      <w:pPr>
        <w:spacing w:after="90"/>
        <w:ind w:left="360" w:hanging="360"/>
      </w:pPr>
      <w:r>
        <w:rPr>
          <w:rFonts w:ascii="Cambria" w:cs="Cambria" w:eastAsia="Cambria" w:hAnsi="Cambria"/>
          <w:i w:val="false"/>
          <w:iCs w:val="false"/>
          <w:color w:val="1A1A1A"/>
          <w:sz w:val="19"/>
          <w:szCs w:val="19"/>
        </w:rPr>
        <w:t xml:space="preserve">Taricani, E., Gautreaux, R. J., &amp; Adams, T. L. (2022). RFID and new horizons. </w:t>
      </w:r>
      <w:r>
        <w:rPr>
          <w:rFonts w:ascii="Cambria" w:cs="Cambria" w:eastAsia="Cambria" w:hAnsi="Cambria"/>
          <w:i/>
          <w:iCs/>
          <w:color w:val="1A1A1A"/>
          <w:sz w:val="19"/>
          <w:szCs w:val="19"/>
        </w:rPr>
        <w:t xml:space="preserve">Journal of Arts and Communication</w:t>
      </w:r>
      <w:r>
        <w:rPr>
          <w:rFonts w:ascii="Cambria" w:cs="Cambria" w:eastAsia="Cambria" w:hAnsi="Cambria"/>
          <w:i w:val="false"/>
          <w:iCs w:val="false"/>
          <w:color w:val="1A1A1A"/>
          <w:sz w:val="19"/>
          <w:szCs w:val="19"/>
        </w:rPr>
        <w:t xml:space="preserve">. E-ISSN: 2583-5017.</w:t>
      </w:r>
    </w:p>
    <w:p>
      <w:pPr>
        <w:spacing w:after="90"/>
        <w:ind w:left="360" w:hanging="360"/>
      </w:pPr>
      <w:r>
        <w:rPr>
          <w:rFonts w:ascii="Cambria" w:cs="Cambria" w:eastAsia="Cambria" w:hAnsi="Cambria"/>
          <w:i w:val="false"/>
          <w:iCs w:val="false"/>
          <w:color w:val="1A1A1A"/>
          <w:sz w:val="19"/>
          <w:szCs w:val="19"/>
        </w:rPr>
        <w:t xml:space="preserve">Gautreaux, R. J. (2022). Persistent thematic elements in gender-specific interviews on the #MeToo movement. </w:t>
      </w:r>
      <w:r>
        <w:rPr>
          <w:rFonts w:ascii="Cambria" w:cs="Cambria" w:eastAsia="Cambria" w:hAnsi="Cambria"/>
          <w:i/>
          <w:iCs/>
          <w:color w:val="1A1A1A"/>
          <w:sz w:val="19"/>
          <w:szCs w:val="19"/>
        </w:rPr>
        <w:t xml:space="preserve">Journal of Arts and Communication</w:t>
      </w:r>
      <w:r>
        <w:rPr>
          <w:rFonts w:ascii="Cambria" w:cs="Cambria" w:eastAsia="Cambria" w:hAnsi="Cambria"/>
          <w:i w:val="false"/>
          <w:iCs w:val="false"/>
          <w:color w:val="1A1A1A"/>
          <w:sz w:val="19"/>
          <w:szCs w:val="19"/>
        </w:rPr>
        <w:t xml:space="preserve">. E-ISSN: 2583-5017.</w:t>
      </w:r>
    </w:p>
    <w:p>
      <w:pPr>
        <w:spacing w:after="90"/>
        <w:ind w:left="360" w:hanging="360"/>
      </w:pPr>
      <w:r>
        <w:rPr>
          <w:rFonts w:ascii="Cambria" w:cs="Cambria" w:eastAsia="Cambria" w:hAnsi="Cambria"/>
          <w:i w:val="false"/>
          <w:iCs w:val="false"/>
          <w:color w:val="1A1A1A"/>
          <w:sz w:val="19"/>
          <w:szCs w:val="19"/>
        </w:rPr>
        <w:t xml:space="preserve">Gautreaux, R. J. (2021). American nightmare: Donald Trump, media spectacle, and authoritarian populism [Book review]. </w:t>
      </w:r>
      <w:r>
        <w:rPr>
          <w:rFonts w:ascii="Cambria" w:cs="Cambria" w:eastAsia="Cambria" w:hAnsi="Cambria"/>
          <w:i/>
          <w:iCs/>
          <w:color w:val="1A1A1A"/>
          <w:sz w:val="19"/>
          <w:szCs w:val="19"/>
        </w:rPr>
        <w:t xml:space="preserve">World Complexity Science Academy Journal</w:t>
      </w:r>
      <w:r>
        <w:rPr>
          <w:rFonts w:ascii="Cambria" w:cs="Cambria" w:eastAsia="Cambria" w:hAnsi="Cambria"/>
          <w:i w:val="false"/>
          <w:iCs w:val="false"/>
          <w:color w:val="1A1A1A"/>
          <w:sz w:val="19"/>
          <w:szCs w:val="19"/>
        </w:rPr>
        <w:t xml:space="preserve">. DOI: 10.46473.</w:t>
      </w:r>
    </w:p>
    <w:p>
      <w:pPr>
        <w:spacing w:after="90"/>
        <w:ind w:left="360" w:hanging="360"/>
      </w:pPr>
      <w:r>
        <w:rPr>
          <w:rFonts w:ascii="Cambria" w:cs="Cambria" w:eastAsia="Cambria" w:hAnsi="Cambria"/>
          <w:i w:val="false"/>
          <w:iCs w:val="false"/>
          <w:color w:val="1A1A1A"/>
          <w:sz w:val="19"/>
          <w:szCs w:val="19"/>
        </w:rPr>
        <w:t xml:space="preserve">Gautreaux, R. J., &amp; Adams, T. L. (2013). The social media sales revolution [Book review]. </w:t>
      </w:r>
      <w:r>
        <w:rPr>
          <w:rFonts w:ascii="Cambria" w:cs="Cambria" w:eastAsia="Cambria" w:hAnsi="Cambria"/>
          <w:i/>
          <w:iCs/>
          <w:color w:val="1A1A1A"/>
          <w:sz w:val="19"/>
          <w:szCs w:val="19"/>
        </w:rPr>
        <w:t xml:space="preserve">Journal of Social Media in Society</w:t>
      </w:r>
      <w:r>
        <w:rPr>
          <w:rFonts w:ascii="Cambria" w:cs="Cambria" w:eastAsia="Cambria" w:hAnsi="Cambria"/>
          <w:i w:val="false"/>
          <w:iCs w:val="false"/>
          <w:color w:val="1A1A1A"/>
          <w:sz w:val="19"/>
          <w:szCs w:val="19"/>
        </w:rPr>
        <w:t xml:space="preserve">, 2(1).</w:t>
      </w:r>
    </w:p>
    <w:p>
      <w:pPr>
        <w:spacing w:after="40" w:before="150"/>
      </w:pPr>
      <w:r>
        <w:rPr>
          <w:rFonts w:ascii="Calibri" w:cs="Calibri" w:eastAsia="Calibri" w:hAnsi="Calibri"/>
          <w:b/>
          <w:bCs/>
          <w:color w:val="1A1A1A"/>
          <w:spacing w:val="16"/>
          <w:sz w:val="19"/>
          <w:szCs w:val="19"/>
        </w:rPr>
        <w:t xml:space="preserve">Other Scholarly Publications</w:t>
      </w:r>
    </w:p>
    <w:p>
      <w:pPr>
        <w:spacing w:after="90"/>
        <w:ind w:left="360" w:hanging="360"/>
      </w:pPr>
      <w:r>
        <w:rPr>
          <w:rFonts w:ascii="Cambria" w:cs="Cambria" w:eastAsia="Cambria" w:hAnsi="Cambria"/>
          <w:i w:val="false"/>
          <w:iCs w:val="false"/>
          <w:color w:val="1A1A1A"/>
          <w:sz w:val="19"/>
          <w:szCs w:val="19"/>
        </w:rPr>
        <w:t xml:space="preserve">Gautreaux, R. J. (2024). Artificial intelligence in the journalists’ newsroom. </w:t>
      </w:r>
      <w:r>
        <w:rPr>
          <w:rFonts w:ascii="Cambria" w:cs="Cambria" w:eastAsia="Cambria" w:hAnsi="Cambria"/>
          <w:i/>
          <w:iCs/>
          <w:color w:val="1A1A1A"/>
          <w:sz w:val="19"/>
          <w:szCs w:val="19"/>
        </w:rPr>
        <w:t xml:space="preserve">Education Vanguard</w:t>
      </w:r>
      <w:r>
        <w:rPr>
          <w:rFonts w:ascii="Cambria" w:cs="Cambria" w:eastAsia="Cambria" w:hAnsi="Cambria"/>
          <w:i w:val="false"/>
          <w:iCs w:val="false"/>
          <w:color w:val="1A1A1A"/>
          <w:sz w:val="19"/>
          <w:szCs w:val="19"/>
        </w:rPr>
        <w:t xml:space="preserve">, Vol. 2, 10th ed. Kaduna Polytechnic, Nigeria.</w:t>
      </w:r>
    </w:p>
    <w:p>
      <w:pPr>
        <w:spacing w:after="90"/>
        <w:ind w:left="360" w:hanging="360"/>
      </w:pPr>
      <w:r>
        <w:rPr>
          <w:rFonts w:ascii="Cambria" w:cs="Cambria" w:eastAsia="Cambria" w:hAnsi="Cambria"/>
          <w:i w:val="false"/>
          <w:iCs w:val="false"/>
          <w:color w:val="1A1A1A"/>
          <w:sz w:val="19"/>
          <w:szCs w:val="19"/>
        </w:rPr>
        <w:t xml:space="preserve">Gautreaux, R. J., &amp; Pitasi, A. (2022). Hypercitizens, hypercities, and complexity science. </w:t>
      </w:r>
      <w:r>
        <w:rPr>
          <w:rFonts w:ascii="Cambria" w:cs="Cambria" w:eastAsia="Cambria" w:hAnsi="Cambria"/>
          <w:i/>
          <w:iCs/>
          <w:color w:val="1A1A1A"/>
          <w:sz w:val="19"/>
          <w:szCs w:val="19"/>
        </w:rPr>
        <w:t xml:space="preserve">WCSAJ Master Class Series</w:t>
      </w:r>
      <w:r>
        <w:rPr>
          <w:rFonts w:ascii="Cambria" w:cs="Cambria" w:eastAsia="Cambria" w:hAnsi="Cambria"/>
          <w:i w:val="false"/>
          <w:iCs w:val="false"/>
          <w:color w:val="1A1A1A"/>
          <w:sz w:val="19"/>
          <w:szCs w:val="19"/>
        </w:rPr>
        <w:t xml:space="preserve">. [Video.]</w:t>
      </w:r>
    </w:p>
    <w:p>
      <w:pPr>
        <w:spacing w:after="90"/>
        <w:ind w:left="360" w:hanging="360"/>
      </w:pPr>
      <w:r>
        <w:rPr>
          <w:rFonts w:ascii="Cambria" w:cs="Cambria" w:eastAsia="Cambria" w:hAnsi="Cambria"/>
          <w:i w:val="false"/>
          <w:iCs w:val="false"/>
          <w:color w:val="1A1A1A"/>
          <w:sz w:val="19"/>
          <w:szCs w:val="19"/>
        </w:rPr>
        <w:t xml:space="preserve">Gautreaux, R. J., &amp; Kperogi, F. (2020). Trump, Boko Haram, and theocratic populism in Nigeria. </w:t>
      </w:r>
      <w:r>
        <w:rPr>
          <w:rFonts w:ascii="Cambria" w:cs="Cambria" w:eastAsia="Cambria" w:hAnsi="Cambria"/>
          <w:i/>
          <w:iCs/>
          <w:color w:val="1A1A1A"/>
          <w:sz w:val="19"/>
          <w:szCs w:val="19"/>
        </w:rPr>
        <w:t xml:space="preserve">WCSAJ Master Class Series</w:t>
      </w:r>
      <w:r>
        <w:rPr>
          <w:rFonts w:ascii="Cambria" w:cs="Cambria" w:eastAsia="Cambria" w:hAnsi="Cambria"/>
          <w:i w:val="false"/>
          <w:iCs w:val="false"/>
          <w:color w:val="1A1A1A"/>
          <w:sz w:val="19"/>
          <w:szCs w:val="19"/>
        </w:rPr>
        <w:t xml:space="preserve">. [Video.]</w:t>
      </w:r>
    </w:p>
    <w:p>
      <w:pPr>
        <w:spacing w:after="90"/>
        <w:ind w:left="360" w:hanging="360"/>
      </w:pPr>
      <w:r>
        <w:rPr>
          <w:rFonts w:ascii="Cambria" w:cs="Cambria" w:eastAsia="Cambria" w:hAnsi="Cambria"/>
          <w:i w:val="false"/>
          <w:iCs w:val="false"/>
          <w:color w:val="1A1A1A"/>
          <w:sz w:val="19"/>
          <w:szCs w:val="19"/>
        </w:rPr>
        <w:t xml:space="preserve">Gautreaux, R. J., &amp; Shaban, S. (2020). Women and terror. </w:t>
      </w:r>
      <w:r>
        <w:rPr>
          <w:rFonts w:ascii="Cambria" w:cs="Cambria" w:eastAsia="Cambria" w:hAnsi="Cambria"/>
          <w:i/>
          <w:iCs/>
          <w:color w:val="1A1A1A"/>
          <w:sz w:val="19"/>
          <w:szCs w:val="19"/>
        </w:rPr>
        <w:t xml:space="preserve">WCSAJ Master Class Series</w:t>
      </w:r>
      <w:r>
        <w:rPr>
          <w:rFonts w:ascii="Cambria" w:cs="Cambria" w:eastAsia="Cambria" w:hAnsi="Cambria"/>
          <w:i w:val="false"/>
          <w:iCs w:val="false"/>
          <w:color w:val="1A1A1A"/>
          <w:sz w:val="19"/>
          <w:szCs w:val="19"/>
        </w:rPr>
        <w:t xml:space="preserve">. [Video.]</w:t>
      </w:r>
    </w:p>
    <w:p>
      <w:pPr>
        <w:spacing w:after="40" w:before="150"/>
      </w:pPr>
      <w:r>
        <w:rPr>
          <w:rFonts w:ascii="Calibri" w:cs="Calibri" w:eastAsia="Calibri" w:hAnsi="Calibri"/>
          <w:b/>
          <w:bCs/>
          <w:color w:val="1A1A1A"/>
          <w:spacing w:val="16"/>
          <w:sz w:val="19"/>
          <w:szCs w:val="19"/>
        </w:rPr>
        <w:t xml:space="preserve">Manuscripts Under Review</w:t>
      </w:r>
    </w:p>
    <w:p>
      <w:pPr>
        <w:spacing w:after="90"/>
        <w:ind w:left="360" w:hanging="360"/>
      </w:pPr>
      <w:r>
        <w:rPr>
          <w:rFonts w:ascii="Cambria" w:cs="Cambria" w:eastAsia="Cambria" w:hAnsi="Cambria"/>
          <w:i w:val="false"/>
          <w:iCs w:val="false"/>
          <w:color w:val="1A1A1A"/>
          <w:sz w:val="19"/>
          <w:szCs w:val="19"/>
        </w:rPr>
        <w:t xml:space="preserve">Gautreaux, R. J. (under review). Weaponized discourse on social media: Sentiment and topic modeling of Black Lives Matter–related tweets from the Internet Research Agency, general users, and U.S. news outlets. </w:t>
      </w:r>
      <w:r>
        <w:rPr>
          <w:rFonts w:ascii="Cambria" w:cs="Cambria" w:eastAsia="Cambria" w:hAnsi="Cambria"/>
          <w:i/>
          <w:iCs/>
          <w:color w:val="1A1A1A"/>
          <w:sz w:val="19"/>
          <w:szCs w:val="19"/>
        </w:rPr>
        <w:t xml:space="preserve">Discover Global Society</w:t>
      </w:r>
      <w:r>
        <w:rPr>
          <w:rFonts w:ascii="Cambria" w:cs="Cambria" w:eastAsia="Cambria" w:hAnsi="Cambria"/>
          <w:i w:val="false"/>
          <w:iCs w:val="false"/>
          <w:color w:val="1A1A1A"/>
          <w:sz w:val="19"/>
          <w:szCs w:val="19"/>
        </w:rPr>
        <w:t xml:space="preserve">.</w:t>
      </w:r>
    </w:p>
    <w:p>
      <w:pPr>
        <w:spacing w:after="90"/>
        <w:ind w:left="360" w:hanging="360"/>
      </w:pPr>
      <w:r>
        <w:rPr>
          <w:rFonts w:ascii="Cambria" w:cs="Cambria" w:eastAsia="Cambria" w:hAnsi="Cambria"/>
          <w:i w:val="false"/>
          <w:iCs w:val="false"/>
          <w:color w:val="1A1A1A"/>
          <w:sz w:val="19"/>
          <w:szCs w:val="19"/>
        </w:rPr>
        <w:t xml:space="preserve">Gautreaux, R. J. (under review). Assessing discursive realities in the hip-hop public sphere through computational methods. </w:t>
      </w:r>
      <w:r>
        <w:rPr>
          <w:rFonts w:ascii="Cambria" w:cs="Cambria" w:eastAsia="Cambria" w:hAnsi="Cambria"/>
          <w:i/>
          <w:iCs/>
          <w:color w:val="1A1A1A"/>
          <w:sz w:val="19"/>
          <w:szCs w:val="19"/>
        </w:rPr>
        <w:t xml:space="preserve">Journal of Hip-Hop Studies</w:t>
      </w:r>
      <w:r>
        <w:rPr>
          <w:rFonts w:ascii="Cambria" w:cs="Cambria" w:eastAsia="Cambria" w:hAnsi="Cambria"/>
          <w:i w:val="false"/>
          <w:iCs w:val="false"/>
          <w:color w:val="1A1A1A"/>
          <w:sz w:val="19"/>
          <w:szCs w:val="19"/>
        </w:rPr>
        <w:t xml:space="preserve">.</w:t>
      </w:r>
    </w:p>
    <w:p>
      <w:pPr>
        <w:spacing w:after="90"/>
        <w:ind w:left="360" w:hanging="360"/>
      </w:pPr>
      <w:r>
        <w:rPr>
          <w:rFonts w:ascii="Cambria" w:cs="Cambria" w:eastAsia="Cambria" w:hAnsi="Cambria"/>
          <w:i w:val="false"/>
          <w:iCs w:val="false"/>
          <w:color w:val="1A1A1A"/>
          <w:sz w:val="19"/>
          <w:szCs w:val="19"/>
        </w:rPr>
        <w:t xml:space="preserve">Gautreaux, R. J. (under review). Vote Red, Vote Green: An exercise in power, societal psychology, and groupthink dialectics. In K. Hirech (Ed.), </w:t>
      </w:r>
      <w:r>
        <w:rPr>
          <w:rFonts w:ascii="Cambria" w:cs="Cambria" w:eastAsia="Cambria" w:hAnsi="Cambria"/>
          <w:i/>
          <w:iCs/>
          <w:color w:val="1A1A1A"/>
          <w:sz w:val="19"/>
          <w:szCs w:val="19"/>
        </w:rPr>
        <w:t xml:space="preserve">Environmental Education and Sustainable Development: Challenges and Prospects for the Future</w:t>
      </w:r>
      <w:r>
        <w:rPr>
          <w:rFonts w:ascii="Cambria" w:cs="Cambria" w:eastAsia="Cambria" w:hAnsi="Cambria"/>
          <w:i w:val="false"/>
          <w:iCs w:val="false"/>
          <w:color w:val="1A1A1A"/>
          <w:sz w:val="19"/>
          <w:szCs w:val="19"/>
        </w:rPr>
        <w:t xml:space="preserve">. Palgrave Macmillan / Springer Nature.</w:t>
      </w:r>
    </w:p>
    <w:p>
      <w:pPr>
        <w:pBdr>
          <w:bottom w:val="single" w:color="23395B" w:sz="8" w:space="3"/>
        </w:pBdr>
        <w:spacing w:after="90" w:before="240"/>
      </w:pPr>
      <w:r>
        <w:rPr>
          <w:rFonts w:ascii="Calibri" w:cs="Calibri" w:eastAsia="Calibri" w:hAnsi="Calibri"/>
          <w:b/>
          <w:bCs/>
          <w:color w:val="23395B"/>
          <w:spacing w:val="36"/>
          <w:sz w:val="21"/>
          <w:szCs w:val="21"/>
        </w:rPr>
        <w:t xml:space="preserve">CONFERENCE &amp; INVITED PRESENTATIONS</w:t>
      </w:r>
    </w:p>
    <w:p>
      <w:pPr>
        <w:spacing w:after="40" w:before="150"/>
      </w:pPr>
      <w:r>
        <w:rPr>
          <w:rFonts w:ascii="Calibri" w:cs="Calibri" w:eastAsia="Calibri" w:hAnsi="Calibri"/>
          <w:b/>
          <w:bCs/>
          <w:color w:val="1A1A1A"/>
          <w:spacing w:val="16"/>
          <w:sz w:val="19"/>
          <w:szCs w:val="19"/>
        </w:rPr>
        <w:t xml:space="preserve">Invited Presentations</w:t>
      </w:r>
    </w:p>
    <w:p>
      <w:pPr>
        <w:spacing w:after="90"/>
        <w:ind w:left="360" w:hanging="360"/>
      </w:pPr>
      <w:r>
        <w:rPr>
          <w:rFonts w:ascii="Calibri" w:cs="Calibri" w:eastAsia="Calibri" w:hAnsi="Calibri"/>
          <w:b/>
          <w:bCs/>
          <w:i w:val="false"/>
          <w:iCs w:val="false"/>
          <w:color w:val="23395B"/>
          <w:sz w:val="19"/>
          <w:szCs w:val="19"/>
        </w:rPr>
        <w:t xml:space="preserve">2025   </w:t>
      </w:r>
      <w:r>
        <w:rPr>
          <w:rFonts w:ascii="Cambria" w:cs="Cambria" w:eastAsia="Cambria" w:hAnsi="Cambria"/>
          <w:i w:val="false"/>
          <w:iCs w:val="false"/>
          <w:color w:val="1A1A1A"/>
          <w:sz w:val="19"/>
          <w:szCs w:val="19"/>
        </w:rPr>
        <w:t xml:space="preserve">Vote Red, Vote Green: A Classroom Exercise of Gamified Power Dynamics, Societal Psychology, and Groupthink Dialectics. Georgia Communication Association, Georgia College and State University.</w:t>
      </w:r>
    </w:p>
    <w:p>
      <w:pPr>
        <w:spacing w:after="90"/>
        <w:ind w:left="360" w:hanging="360"/>
      </w:pPr>
      <w:r>
        <w:rPr>
          <w:rFonts w:ascii="Calibri" w:cs="Calibri" w:eastAsia="Calibri" w:hAnsi="Calibri"/>
          <w:b/>
          <w:bCs/>
          <w:i w:val="false"/>
          <w:iCs w:val="false"/>
          <w:color w:val="23395B"/>
          <w:sz w:val="19"/>
          <w:szCs w:val="19"/>
        </w:rPr>
        <w:t xml:space="preserve">2023   </w:t>
      </w:r>
      <w:r>
        <w:rPr>
          <w:rFonts w:ascii="Cambria" w:cs="Cambria" w:eastAsia="Cambria" w:hAnsi="Cambria"/>
          <w:i w:val="false"/>
          <w:iCs w:val="false"/>
          <w:color w:val="1A1A1A"/>
          <w:sz w:val="19"/>
          <w:szCs w:val="19"/>
        </w:rPr>
        <w:t xml:space="preserve">Artificial Intelligence for Newsrooms: Leveraging AI for International Newswriting and Reporting. Kaduna University, Nigeria.</w:t>
      </w:r>
    </w:p>
    <w:p>
      <w:pPr>
        <w:spacing w:after="90"/>
        <w:ind w:left="360" w:hanging="360"/>
      </w:pPr>
      <w:r>
        <w:rPr>
          <w:rFonts w:ascii="Calibri" w:cs="Calibri" w:eastAsia="Calibri" w:hAnsi="Calibri"/>
          <w:b/>
          <w:bCs/>
          <w:i w:val="false"/>
          <w:iCs w:val="false"/>
          <w:color w:val="23395B"/>
          <w:sz w:val="19"/>
          <w:szCs w:val="19"/>
        </w:rPr>
        <w:t xml:space="preserve">2023   </w:t>
      </w:r>
      <w:r>
        <w:rPr>
          <w:rFonts w:ascii="Cambria" w:cs="Cambria" w:eastAsia="Cambria" w:hAnsi="Cambria"/>
          <w:i w:val="false"/>
          <w:iCs w:val="false"/>
          <w:color w:val="1A1A1A"/>
          <w:sz w:val="19"/>
          <w:szCs w:val="19"/>
        </w:rPr>
        <w:t xml:space="preserve">Guest of Honor — Computers, AI, and the Future of Work. Kaduna Polytechnic, Nigeria. Keynote presentation.</w:t>
      </w:r>
    </w:p>
    <w:p>
      <w:pPr>
        <w:spacing w:after="90"/>
        <w:ind w:left="360" w:hanging="360"/>
      </w:pPr>
      <w:r>
        <w:rPr>
          <w:rFonts w:ascii="Calibri" w:cs="Calibri" w:eastAsia="Calibri" w:hAnsi="Calibri"/>
          <w:b/>
          <w:bCs/>
          <w:i w:val="false"/>
          <w:iCs w:val="false"/>
          <w:color w:val="23395B"/>
          <w:sz w:val="19"/>
          <w:szCs w:val="19"/>
        </w:rPr>
        <w:t xml:space="preserve">2023   </w:t>
      </w:r>
      <w:r>
        <w:rPr>
          <w:rFonts w:ascii="Cambria" w:cs="Cambria" w:eastAsia="Cambria" w:hAnsi="Cambria"/>
          <w:i w:val="false"/>
          <w:iCs w:val="false"/>
          <w:color w:val="1A1A1A"/>
          <w:sz w:val="19"/>
          <w:szCs w:val="19"/>
        </w:rPr>
        <w:t xml:space="preserve">Ink &amp; Algorithms: Navigating the AI-Pen Creative Landscape. La Fenêtre de Paris, France. With E. Akhadov, S. Vegh, T. Chakborti, A. Zubier.</w:t>
      </w:r>
    </w:p>
    <w:p>
      <w:pPr>
        <w:spacing w:after="90"/>
        <w:ind w:left="360" w:hanging="360"/>
      </w:pPr>
      <w:r>
        <w:rPr>
          <w:rFonts w:ascii="Calibri" w:cs="Calibri" w:eastAsia="Calibri" w:hAnsi="Calibri"/>
          <w:b/>
          <w:bCs/>
          <w:i w:val="false"/>
          <w:iCs w:val="false"/>
          <w:color w:val="23395B"/>
          <w:sz w:val="19"/>
          <w:szCs w:val="19"/>
        </w:rPr>
        <w:t xml:space="preserve">2021   </w:t>
      </w:r>
      <w:r>
        <w:rPr>
          <w:rFonts w:ascii="Cambria" w:cs="Cambria" w:eastAsia="Cambria" w:hAnsi="Cambria"/>
          <w:i w:val="false"/>
          <w:iCs w:val="false"/>
          <w:color w:val="1A1A1A"/>
          <w:sz w:val="19"/>
          <w:szCs w:val="19"/>
        </w:rPr>
        <w:t xml:space="preserve">Academic Innovations. Ahmadu Bello University / Kaduna University, Nigeria. With J. Jamsho, A. Chawla, U. Vangal.</w:t>
      </w:r>
    </w:p>
    <w:p>
      <w:pPr>
        <w:spacing w:after="90"/>
        <w:ind w:left="360" w:hanging="360"/>
      </w:pPr>
      <w:r>
        <w:rPr>
          <w:rFonts w:ascii="Calibri" w:cs="Calibri" w:eastAsia="Calibri" w:hAnsi="Calibri"/>
          <w:b/>
          <w:bCs/>
          <w:i w:val="false"/>
          <w:iCs w:val="false"/>
          <w:color w:val="23395B"/>
          <w:sz w:val="19"/>
          <w:szCs w:val="19"/>
        </w:rPr>
        <w:t xml:space="preserve">2018   </w:t>
      </w:r>
      <w:r>
        <w:rPr>
          <w:rFonts w:ascii="Cambria" w:cs="Cambria" w:eastAsia="Cambria" w:hAnsi="Cambria"/>
          <w:i w:val="false"/>
          <w:iCs w:val="false"/>
          <w:color w:val="1A1A1A"/>
          <w:sz w:val="19"/>
          <w:szCs w:val="19"/>
        </w:rPr>
        <w:t xml:space="preserve">First-Year Pedagogy. Georgia State University, Atlanta, GA. With Dr. R. Ramzy.</w:t>
      </w:r>
    </w:p>
    <w:p>
      <w:pPr>
        <w:spacing w:after="90"/>
        <w:ind w:left="360" w:hanging="360"/>
      </w:pPr>
      <w:r>
        <w:rPr>
          <w:rFonts w:ascii="Calibri" w:cs="Calibri" w:eastAsia="Calibri" w:hAnsi="Calibri"/>
          <w:b/>
          <w:bCs/>
          <w:i w:val="false"/>
          <w:iCs w:val="false"/>
          <w:color w:val="23395B"/>
          <w:sz w:val="19"/>
          <w:szCs w:val="19"/>
        </w:rPr>
        <w:t xml:space="preserve">2015   </w:t>
      </w:r>
      <w:r>
        <w:rPr>
          <w:rFonts w:ascii="Cambria" w:cs="Cambria" w:eastAsia="Cambria" w:hAnsi="Cambria"/>
          <w:i w:val="false"/>
          <w:iCs w:val="false"/>
          <w:color w:val="1A1A1A"/>
          <w:sz w:val="19"/>
          <w:szCs w:val="19"/>
        </w:rPr>
        <w:t xml:space="preserve">Nanotechnology and Communication Shock. La Sabanas Universidad, Bogotá, Colombia. With T. Adams.</w:t>
      </w:r>
    </w:p>
    <w:p>
      <w:pPr>
        <w:spacing w:after="90"/>
        <w:ind w:left="360" w:hanging="360"/>
      </w:pPr>
      <w:r>
        <w:rPr>
          <w:rFonts w:ascii="Calibri" w:cs="Calibri" w:eastAsia="Calibri" w:hAnsi="Calibri"/>
          <w:b/>
          <w:bCs/>
          <w:i w:val="false"/>
          <w:iCs w:val="false"/>
          <w:color w:val="23395B"/>
          <w:sz w:val="19"/>
          <w:szCs w:val="19"/>
        </w:rPr>
        <w:t xml:space="preserve">2014   </w:t>
      </w:r>
      <w:r>
        <w:rPr>
          <w:rFonts w:ascii="Cambria" w:cs="Cambria" w:eastAsia="Cambria" w:hAnsi="Cambria"/>
          <w:i w:val="false"/>
          <w:iCs w:val="false"/>
          <w:color w:val="1A1A1A"/>
          <w:sz w:val="19"/>
          <w:szCs w:val="19"/>
        </w:rPr>
        <w:t xml:space="preserve">University Pedagogy · Introduction to University Teaching. University of Louisiana at Lafayette.</w:t>
      </w:r>
    </w:p>
    <w:p>
      <w:pPr>
        <w:spacing w:after="90"/>
        <w:ind w:left="360" w:hanging="360"/>
      </w:pPr>
      <w:r>
        <w:rPr>
          <w:rFonts w:ascii="Calibri" w:cs="Calibri" w:eastAsia="Calibri" w:hAnsi="Calibri"/>
          <w:b/>
          <w:bCs/>
          <w:i w:val="false"/>
          <w:iCs w:val="false"/>
          <w:color w:val="23395B"/>
          <w:sz w:val="19"/>
          <w:szCs w:val="19"/>
        </w:rPr>
        <w:t xml:space="preserve">2013   </w:t>
      </w:r>
      <w:r>
        <w:rPr>
          <w:rFonts w:ascii="Cambria" w:cs="Cambria" w:eastAsia="Cambria" w:hAnsi="Cambria"/>
          <w:i w:val="false"/>
          <w:iCs w:val="false"/>
          <w:color w:val="1A1A1A"/>
          <w:sz w:val="19"/>
          <w:szCs w:val="19"/>
        </w:rPr>
        <w:t xml:space="preserve">Research Design and Visual Effects · Visual Effects in Marketing. University of Louisiana at Lafayette.</w:t>
      </w:r>
    </w:p>
    <w:p>
      <w:pPr>
        <w:spacing w:after="40" w:before="150"/>
      </w:pPr>
      <w:r>
        <w:rPr>
          <w:rFonts w:ascii="Calibri" w:cs="Calibri" w:eastAsia="Calibri" w:hAnsi="Calibri"/>
          <w:b/>
          <w:bCs/>
          <w:color w:val="1A1A1A"/>
          <w:spacing w:val="16"/>
          <w:sz w:val="19"/>
          <w:szCs w:val="19"/>
        </w:rPr>
        <w:t xml:space="preserve">Refereed Conference Papers</w:t>
      </w:r>
    </w:p>
    <w:p>
      <w:pPr>
        <w:spacing w:after="90"/>
        <w:ind w:left="360" w:hanging="360"/>
      </w:pPr>
      <w:r>
        <w:rPr>
          <w:rFonts w:ascii="Calibri" w:cs="Calibri" w:eastAsia="Calibri" w:hAnsi="Calibri"/>
          <w:b/>
          <w:bCs/>
          <w:i w:val="false"/>
          <w:iCs w:val="false"/>
          <w:color w:val="23395B"/>
          <w:sz w:val="19"/>
          <w:szCs w:val="19"/>
        </w:rPr>
        <w:t xml:space="preserve">2025   </w:t>
      </w:r>
      <w:r>
        <w:rPr>
          <w:rFonts w:ascii="Cambria" w:cs="Cambria" w:eastAsia="Cambria" w:hAnsi="Cambria"/>
          <w:i w:val="false"/>
          <w:iCs w:val="false"/>
          <w:color w:val="1A1A1A"/>
          <w:sz w:val="19"/>
          <w:szCs w:val="19"/>
        </w:rPr>
        <w:t xml:space="preserve">Vote Red, Vote Green: A Classroom Exercise of Gamified Power Dynamics, Societal Psychology, and Groupthink Dialectics. International Conference on Education and the Environment (ICEE), Oujda, Morocco.</w:t>
      </w:r>
    </w:p>
    <w:p>
      <w:pPr>
        <w:spacing w:after="90"/>
        <w:ind w:left="360" w:hanging="360"/>
      </w:pPr>
      <w:r>
        <w:rPr>
          <w:rFonts w:ascii="Calibri" w:cs="Calibri" w:eastAsia="Calibri" w:hAnsi="Calibri"/>
          <w:b/>
          <w:bCs/>
          <w:i w:val="false"/>
          <w:iCs w:val="false"/>
          <w:color w:val="23395B"/>
          <w:sz w:val="19"/>
          <w:szCs w:val="19"/>
        </w:rPr>
        <w:t xml:space="preserve">2024   </w:t>
      </w:r>
      <w:r>
        <w:rPr>
          <w:rFonts w:ascii="Cambria" w:cs="Cambria" w:eastAsia="Cambria" w:hAnsi="Cambria"/>
          <w:i w:val="false"/>
          <w:iCs w:val="false"/>
          <w:color w:val="1A1A1A"/>
          <w:sz w:val="19"/>
          <w:szCs w:val="19"/>
        </w:rPr>
        <w:t xml:space="preserve">Aligning Distances: Construal-Level Congruence in Misinformation Correction. GSU Graduate Research and Scholarship Conference, Atlanta, GA.</w:t>
      </w:r>
    </w:p>
    <w:p>
      <w:pPr>
        <w:spacing w:after="90"/>
        <w:ind w:left="360" w:hanging="360"/>
      </w:pPr>
      <w:r>
        <w:rPr>
          <w:rFonts w:ascii="Calibri" w:cs="Calibri" w:eastAsia="Calibri" w:hAnsi="Calibri"/>
          <w:b/>
          <w:bCs/>
          <w:i w:val="false"/>
          <w:iCs w:val="false"/>
          <w:color w:val="23395B"/>
          <w:sz w:val="19"/>
          <w:szCs w:val="19"/>
        </w:rPr>
        <w:t xml:space="preserve">2018   </w:t>
      </w:r>
      <w:r>
        <w:rPr>
          <w:rFonts w:ascii="Cambria" w:cs="Cambria" w:eastAsia="Cambria" w:hAnsi="Cambria"/>
          <w:i w:val="false"/>
          <w:iCs w:val="false"/>
          <w:color w:val="1A1A1A"/>
          <w:sz w:val="19"/>
          <w:szCs w:val="19"/>
        </w:rPr>
        <w:t xml:space="preserve">Argumentation and Debate in a Posttest Setting. 23rd Annual Conference of the Arab–United States Association of Communication Educators, Lafayette, LA.</w:t>
      </w:r>
    </w:p>
    <w:p>
      <w:pPr>
        <w:spacing w:after="90"/>
        <w:ind w:left="360" w:hanging="360"/>
      </w:pPr>
      <w:r>
        <w:rPr>
          <w:rFonts w:ascii="Calibri" w:cs="Calibri" w:eastAsia="Calibri" w:hAnsi="Calibri"/>
          <w:b/>
          <w:bCs/>
          <w:i w:val="false"/>
          <w:iCs w:val="false"/>
          <w:color w:val="23395B"/>
          <w:sz w:val="19"/>
          <w:szCs w:val="19"/>
        </w:rPr>
        <w:t xml:space="preserve">2016   </w:t>
      </w:r>
      <w:r>
        <w:rPr>
          <w:rFonts w:ascii="Cambria" w:cs="Cambria" w:eastAsia="Cambria" w:hAnsi="Cambria"/>
          <w:i w:val="false"/>
          <w:iCs w:val="false"/>
          <w:color w:val="1A1A1A"/>
          <w:sz w:val="19"/>
          <w:szCs w:val="19"/>
        </w:rPr>
        <w:t xml:space="preserve">Framing the Patient Protection and Affordable Care Act: A Content Analysis of Democratic and Republican Twitter Feeds. AEJMC Annual Conference, Minneapolis, MN.</w:t>
      </w:r>
    </w:p>
    <w:p>
      <w:pPr>
        <w:spacing w:after="90"/>
        <w:ind w:left="360" w:hanging="360"/>
      </w:pPr>
      <w:r>
        <w:rPr>
          <w:rFonts w:ascii="Calibri" w:cs="Calibri" w:eastAsia="Calibri" w:hAnsi="Calibri"/>
          <w:b/>
          <w:bCs/>
          <w:i w:val="false"/>
          <w:iCs w:val="false"/>
          <w:color w:val="23395B"/>
          <w:sz w:val="19"/>
          <w:szCs w:val="19"/>
        </w:rPr>
        <w:t xml:space="preserve">2016   </w:t>
      </w:r>
      <w:r>
        <w:rPr>
          <w:rFonts w:ascii="Cambria" w:cs="Cambria" w:eastAsia="Cambria" w:hAnsi="Cambria"/>
          <w:i w:val="false"/>
          <w:iCs w:val="false"/>
          <w:color w:val="1A1A1A"/>
          <w:sz w:val="19"/>
          <w:szCs w:val="19"/>
        </w:rPr>
        <w:t xml:space="preserve">Framing of the ACA by Democratic and Republican Leaders. Broadcast Education Association Super-Regional Conference, Columbus, SC.</w:t>
      </w:r>
    </w:p>
    <w:p>
      <w:pPr>
        <w:spacing w:after="90"/>
        <w:ind w:left="360" w:hanging="360"/>
      </w:pPr>
      <w:r>
        <w:rPr>
          <w:rFonts w:ascii="Calibri" w:cs="Calibri" w:eastAsia="Calibri" w:hAnsi="Calibri"/>
          <w:b/>
          <w:bCs/>
          <w:i w:val="false"/>
          <w:iCs w:val="false"/>
          <w:color w:val="23395B"/>
          <w:sz w:val="19"/>
          <w:szCs w:val="19"/>
        </w:rPr>
        <w:t xml:space="preserve">2015   </w:t>
      </w:r>
      <w:r>
        <w:rPr>
          <w:rFonts w:ascii="Cambria" w:cs="Cambria" w:eastAsia="Cambria" w:hAnsi="Cambria"/>
          <w:i w:val="false"/>
          <w:iCs w:val="false"/>
          <w:color w:val="1A1A1A"/>
          <w:sz w:val="19"/>
          <w:szCs w:val="19"/>
        </w:rPr>
        <w:t xml:space="preserve">Political Framing of the ACA by Democratic and Republican Leaders: Methods and Twitter. 20th Annual Conference of the Arab–United States Association of Communication Educators, Tangiers, Morocco.</w:t>
      </w:r>
    </w:p>
    <w:p>
      <w:pPr>
        <w:pBdr>
          <w:bottom w:val="single" w:color="23395B" w:sz="8" w:space="3"/>
        </w:pBdr>
        <w:spacing w:after="90" w:before="240"/>
      </w:pPr>
      <w:r>
        <w:rPr>
          <w:rFonts w:ascii="Calibri" w:cs="Calibri" w:eastAsia="Calibri" w:hAnsi="Calibri"/>
          <w:b/>
          <w:bCs/>
          <w:color w:val="23395B"/>
          <w:spacing w:val="36"/>
          <w:sz w:val="21"/>
          <w:szCs w:val="21"/>
        </w:rPr>
        <w:t xml:space="preserve">APPLIED TECHNOLOGY &amp; DIGITAL PRODUCTS</w:t>
      </w:r>
    </w:p>
    <w:p>
      <w:pPr>
        <w:spacing w:after="70"/>
        <w:ind w:left="360" w:hanging="360"/>
      </w:pPr>
      <w:r>
        <w:rPr>
          <w:rFonts w:ascii="Cambria" w:cs="Cambria" w:eastAsia="Cambria" w:hAnsi="Cambria"/>
          <w:b/>
          <w:bCs/>
          <w:i w:val="false"/>
          <w:iCs w:val="false"/>
          <w:color w:val="1A1A1A"/>
          <w:sz w:val="19"/>
          <w:szCs w:val="19"/>
        </w:rPr>
        <w:t xml:space="preserve">Stock Sentinel</w:t>
      </w:r>
      <w:r>
        <w:rPr>
          <w:rFonts w:ascii="Cambria" w:cs="Cambria" w:eastAsia="Cambria" w:hAnsi="Cambria"/>
          <w:i w:val="false"/>
          <w:iCs w:val="false"/>
          <w:color w:val="1A1A1A"/>
          <w:sz w:val="19"/>
          <w:szCs w:val="19"/>
        </w:rPr>
        <w:t xml:space="preserve"> — AI-powered sentiment-analysis tool. Classifies news and social-media events by market impact using LLM-based chain-of-thought prompting (Python, Groq API).</w:t>
      </w:r>
    </w:p>
    <w:p>
      <w:pPr>
        <w:spacing w:after="70"/>
        <w:ind w:left="360" w:hanging="360"/>
      </w:pPr>
      <w:r>
        <w:rPr>
          <w:rFonts w:ascii="Cambria" w:cs="Cambria" w:eastAsia="Cambria" w:hAnsi="Cambria"/>
          <w:b/>
          <w:bCs/>
          <w:i w:val="false"/>
          <w:iCs w:val="false"/>
          <w:color w:val="1A1A1A"/>
          <w:sz w:val="19"/>
          <w:szCs w:val="19"/>
        </w:rPr>
        <w:t xml:space="preserve">EthicalInvest</w:t>
      </w:r>
      <w:r>
        <w:rPr>
          <w:rFonts w:ascii="Cambria" w:cs="Cambria" w:eastAsia="Cambria" w:hAnsi="Cambria"/>
          <w:i w:val="false"/>
          <w:iCs w:val="false"/>
          <w:color w:val="1A1A1A"/>
          <w:sz w:val="19"/>
          <w:szCs w:val="19"/>
        </w:rPr>
        <w:t xml:space="preserve"> — Values-based stock-screening application. Scores 130+ S&amp;P 500 equities across faith-based, environmental, and political value frameworks (React, Python).</w:t>
      </w:r>
    </w:p>
    <w:p>
      <w:pPr>
        <w:spacing w:after="70"/>
        <w:ind w:left="360" w:hanging="360"/>
      </w:pPr>
      <w:r>
        <w:rPr>
          <w:rFonts w:ascii="Cambria" w:cs="Cambria" w:eastAsia="Cambria" w:hAnsi="Cambria"/>
          <w:b/>
          <w:bCs/>
          <w:i w:val="false"/>
          <w:iCs w:val="false"/>
          <w:color w:val="1A1A1A"/>
          <w:sz w:val="19"/>
          <w:szCs w:val="19"/>
        </w:rPr>
        <w:t xml:space="preserve">Gabriel’s Intern</w:t>
      </w:r>
      <w:r>
        <w:rPr>
          <w:rFonts w:ascii="Cambria" w:cs="Cambria" w:eastAsia="Cambria" w:hAnsi="Cambria"/>
          <w:i w:val="false"/>
          <w:iCs w:val="false"/>
          <w:color w:val="1A1A1A"/>
          <w:sz w:val="19"/>
          <w:szCs w:val="19"/>
        </w:rPr>
        <w:t xml:space="preserve"> — Multi-faith sacred-texts NLP search tool. Natural-language query interface across six religious traditions using RAG-based retrieval (Python, React).</w:t>
      </w:r>
    </w:p>
    <w:p>
      <w:pPr>
        <w:spacing w:after="70"/>
        <w:ind w:left="360" w:hanging="360"/>
      </w:pPr>
      <w:r>
        <w:rPr>
          <w:rFonts w:ascii="Cambria" w:cs="Cambria" w:eastAsia="Cambria" w:hAnsi="Cambria"/>
          <w:b/>
          <w:bCs/>
          <w:i w:val="false"/>
          <w:iCs w:val="false"/>
          <w:color w:val="1A1A1A"/>
          <w:sz w:val="19"/>
          <w:szCs w:val="19"/>
        </w:rPr>
        <w:t xml:space="preserve">Py Pocket Ry</w:t>
      </w:r>
      <w:r>
        <w:rPr>
          <w:rFonts w:ascii="Cambria" w:cs="Cambria" w:eastAsia="Cambria" w:hAnsi="Cambria"/>
          <w:i w:val="false"/>
          <w:iCs w:val="false"/>
          <w:color w:val="1A1A1A"/>
          <w:sz w:val="19"/>
          <w:szCs w:val="19"/>
        </w:rPr>
        <w:t xml:space="preserve"> — ADHD focus-coach desktop buddy. Pixel-art character delivers timed check-ins across focus, body, emotional, and systems categories (Python, Tkinter).</w:t>
      </w:r>
    </w:p>
    <w:p>
      <w:pPr>
        <w:spacing w:after="70"/>
        <w:ind w:left="360" w:hanging="360"/>
      </w:pPr>
      <w:r>
        <w:rPr>
          <w:rFonts w:ascii="Cambria" w:cs="Cambria" w:eastAsia="Cambria" w:hAnsi="Cambria"/>
          <w:b/>
          <w:bCs/>
          <w:i w:val="false"/>
          <w:iCs w:val="false"/>
          <w:color w:val="1A1A1A"/>
          <w:sz w:val="19"/>
          <w:szCs w:val="19"/>
        </w:rPr>
        <w:t xml:space="preserve">ZoharnSpeaks</w:t>
      </w:r>
      <w:r>
        <w:rPr>
          <w:rFonts w:ascii="Cambria" w:cs="Cambria" w:eastAsia="Cambria" w:hAnsi="Cambria"/>
          <w:i w:val="false"/>
          <w:iCs w:val="false"/>
          <w:color w:val="1A1A1A"/>
          <w:sz w:val="19"/>
          <w:szCs w:val="19"/>
        </w:rPr>
        <w:t xml:space="preserve"> — Interactive mystical and sacred-texts exploration platform. Guided interface for navigating, studying, and contextualizing esoteric religious writings (Python, React).</w:t>
      </w:r>
    </w:p>
    <w:p>
      <w:pPr>
        <w:spacing w:after="20"/>
      </w:pPr>
      <w:r>
        <w:rPr>
          <w:rFonts w:ascii="Cambria" w:cs="Cambria" w:eastAsia="Cambria" w:hAnsi="Cambria"/>
          <w:i/>
          <w:iCs/>
          <w:color w:val="5C5C5C"/>
          <w:sz w:val="18"/>
          <w:szCs w:val="18"/>
        </w:rPr>
        <w:t xml:space="preserve">Additional projects and source code: github.com/RyanGautreaux</w:t>
      </w:r>
    </w:p>
    <w:p>
      <w:pPr>
        <w:pBdr>
          <w:bottom w:val="single" w:color="23395B" w:sz="8" w:space="3"/>
        </w:pBdr>
        <w:spacing w:after="90" w:before="240"/>
      </w:pPr>
      <w:r>
        <w:rPr>
          <w:rFonts w:ascii="Calibri" w:cs="Calibri" w:eastAsia="Calibri" w:hAnsi="Calibri"/>
          <w:b/>
          <w:bCs/>
          <w:color w:val="23395B"/>
          <w:spacing w:val="36"/>
          <w:sz w:val="21"/>
          <w:szCs w:val="21"/>
        </w:rPr>
        <w:t xml:space="preserve">EDITORIAL &amp; SERVICE</w:t>
      </w:r>
    </w:p>
    <w:p>
      <w:pPr>
        <w:spacing w:after="40" w:before="150"/>
      </w:pPr>
      <w:r>
        <w:rPr>
          <w:rFonts w:ascii="Calibri" w:cs="Calibri" w:eastAsia="Calibri" w:hAnsi="Calibri"/>
          <w:b/>
          <w:bCs/>
          <w:color w:val="1A1A1A"/>
          <w:spacing w:val="16"/>
          <w:sz w:val="19"/>
          <w:szCs w:val="19"/>
        </w:rPr>
        <w:t xml:space="preserve">Editorial Roles</w:t>
      </w:r>
    </w:p>
    <w:p>
      <w:pPr>
        <w:spacing w:after="40"/>
        <w:ind/>
      </w:pPr>
      <w:r>
        <w:rPr>
          <w:rFonts w:ascii="Cambria" w:cs="Cambria" w:eastAsia="Cambria" w:hAnsi="Cambria"/>
          <w:b/>
          <w:bCs/>
          <w:i w:val="false"/>
          <w:iCs w:val="false"/>
          <w:color w:val="1A1A1A"/>
          <w:sz w:val="19"/>
          <w:szCs w:val="19"/>
        </w:rPr>
        <w:t xml:space="preserve">Editor-in-Chief</w:t>
      </w:r>
      <w:r>
        <w:rPr>
          <w:rFonts w:ascii="Cambria" w:cs="Cambria" w:eastAsia="Cambria" w:hAnsi="Cambria"/>
          <w:i w:val="false"/>
          <w:iCs w:val="false"/>
          <w:color w:val="1A1A1A"/>
          <w:sz w:val="19"/>
          <w:szCs w:val="19"/>
        </w:rPr>
        <w:t xml:space="preserve"> (2025–Present), </w:t>
      </w:r>
      <w:r>
        <w:rPr>
          <w:rFonts w:ascii="Cambria" w:cs="Cambria" w:eastAsia="Cambria" w:hAnsi="Cambria"/>
          <w:i/>
          <w:iCs/>
          <w:color w:val="1A1A1A"/>
          <w:sz w:val="19"/>
          <w:szCs w:val="19"/>
        </w:rPr>
        <w:t xml:space="preserve">Journal of Global Perspectives in Communication and Media</w:t>
      </w:r>
      <w:r>
        <w:rPr>
          <w:rFonts w:ascii="Cambria" w:cs="Cambria" w:eastAsia="Cambria" w:hAnsi="Cambria"/>
          <w:i w:val="false"/>
          <w:iCs w:val="false"/>
          <w:color w:val="1A1A1A"/>
          <w:sz w:val="19"/>
          <w:szCs w:val="19"/>
        </w:rPr>
        <w:t xml:space="preserve"> (ISSN 3065-548X). Phoenix Suite Open Access Publishing, Atlanta, GA.</w:t>
      </w:r>
    </w:p>
    <w:p>
      <w:pPr>
        <w:spacing w:after="40"/>
        <w:ind/>
      </w:pPr>
      <w:r>
        <w:rPr>
          <w:rFonts w:ascii="Cambria" w:cs="Cambria" w:eastAsia="Cambria" w:hAnsi="Cambria"/>
          <w:b/>
          <w:bCs/>
          <w:i w:val="false"/>
          <w:iCs w:val="false"/>
          <w:color w:val="1A1A1A"/>
          <w:sz w:val="19"/>
          <w:szCs w:val="19"/>
        </w:rPr>
        <w:t xml:space="preserve">Scientific Steering Committee</w:t>
      </w:r>
      <w:r>
        <w:rPr>
          <w:rFonts w:ascii="Cambria" w:cs="Cambria" w:eastAsia="Cambria" w:hAnsi="Cambria"/>
          <w:i w:val="false"/>
          <w:iCs w:val="false"/>
          <w:color w:val="1A1A1A"/>
          <w:sz w:val="19"/>
          <w:szCs w:val="19"/>
        </w:rPr>
        <w:t xml:space="preserve"> (2025–Present), International Conference on Education and the Environment. U. Mohammed Premier-Oujda / Hanns Seidel Foundation, Morocco.</w:t>
      </w:r>
    </w:p>
    <w:p>
      <w:pPr>
        <w:spacing w:after="50"/>
        <w:ind/>
      </w:pPr>
      <w:r>
        <w:rPr>
          <w:rFonts w:ascii="Cambria" w:cs="Cambria" w:eastAsia="Cambria" w:hAnsi="Cambria"/>
          <w:b/>
          <w:bCs/>
          <w:i w:val="false"/>
          <w:iCs w:val="false"/>
          <w:color w:val="1A1A1A"/>
          <w:sz w:val="19"/>
          <w:szCs w:val="19"/>
        </w:rPr>
        <w:t xml:space="preserve">Scientific Editorial Board</w:t>
      </w:r>
      <w:r>
        <w:rPr>
          <w:rFonts w:ascii="Cambria" w:cs="Cambria" w:eastAsia="Cambria" w:hAnsi="Cambria"/>
          <w:i w:val="false"/>
          <w:iCs w:val="false"/>
          <w:color w:val="1A1A1A"/>
          <w:sz w:val="19"/>
          <w:szCs w:val="19"/>
        </w:rPr>
        <w:t xml:space="preserve"> (2020–Present), </w:t>
      </w:r>
      <w:r>
        <w:rPr>
          <w:rFonts w:ascii="Cambria" w:cs="Cambria" w:eastAsia="Cambria" w:hAnsi="Cambria"/>
          <w:i/>
          <w:iCs/>
          <w:color w:val="1A1A1A"/>
          <w:sz w:val="19"/>
          <w:szCs w:val="19"/>
        </w:rPr>
        <w:t xml:space="preserve">World Complexity Science Academy Journal</w:t>
      </w:r>
      <w:r>
        <w:rPr>
          <w:rFonts w:ascii="Cambria" w:cs="Cambria" w:eastAsia="Cambria" w:hAnsi="Cambria"/>
          <w:i w:val="false"/>
          <w:iCs w:val="false"/>
          <w:color w:val="1A1A1A"/>
          <w:sz w:val="19"/>
          <w:szCs w:val="19"/>
        </w:rPr>
        <w:t xml:space="preserve"> (ISSN 2724-0606), D’Annunzio University, Italy.</w:t>
      </w:r>
    </w:p>
    <w:p>
      <w:pPr>
        <w:spacing w:after="40" w:before="150"/>
      </w:pPr>
      <w:r>
        <w:rPr>
          <w:rFonts w:ascii="Calibri" w:cs="Calibri" w:eastAsia="Calibri" w:hAnsi="Calibri"/>
          <w:b/>
          <w:bCs/>
          <w:color w:val="1A1A1A"/>
          <w:spacing w:val="16"/>
          <w:sz w:val="19"/>
          <w:szCs w:val="19"/>
        </w:rPr>
        <w:t xml:space="preserve">Fellowships &amp; Service</w:t>
      </w:r>
    </w:p>
    <w:p>
      <w:pPr>
        <w:spacing w:after="40"/>
        <w:ind/>
      </w:pPr>
      <w:r>
        <w:rPr>
          <w:rFonts w:ascii="Cambria" w:cs="Cambria" w:eastAsia="Cambria" w:hAnsi="Cambria"/>
          <w:b/>
          <w:bCs/>
          <w:i w:val="false"/>
          <w:iCs w:val="false"/>
          <w:color w:val="1A1A1A"/>
          <w:sz w:val="19"/>
          <w:szCs w:val="19"/>
        </w:rPr>
        <w:t xml:space="preserve">Global Leadership Fellow</w:t>
      </w:r>
      <w:r>
        <w:rPr>
          <w:rFonts w:ascii="Cambria" w:cs="Cambria" w:eastAsia="Cambria" w:hAnsi="Cambria"/>
          <w:i w:val="false"/>
          <w:iCs w:val="false"/>
          <w:color w:val="1A1A1A"/>
          <w:sz w:val="19"/>
          <w:szCs w:val="19"/>
        </w:rPr>
        <w:t xml:space="preserve"> (2026), World Affairs Council of Atlanta. Intensive cohort focused on international diplomacy and business.</w:t>
      </w:r>
    </w:p>
    <w:p>
      <w:pPr>
        <w:spacing w:after="50"/>
        <w:ind/>
      </w:pPr>
      <w:r>
        <w:rPr>
          <w:rFonts w:ascii="Cambria" w:cs="Cambria" w:eastAsia="Cambria" w:hAnsi="Cambria"/>
          <w:i w:val="false"/>
          <w:iCs w:val="false"/>
          <w:color w:val="1A1A1A"/>
          <w:sz w:val="19"/>
          <w:szCs w:val="19"/>
        </w:rPr>
        <w:t xml:space="preserve">Technology Committee Advisor, Butler University (2023–2024).</w:t>
      </w:r>
    </w:p>
    <w:p>
      <w:pPr>
        <w:spacing w:after="40" w:before="150"/>
      </w:pPr>
      <w:r>
        <w:rPr>
          <w:rFonts w:ascii="Calibri" w:cs="Calibri" w:eastAsia="Calibri" w:hAnsi="Calibri"/>
          <w:b/>
          <w:bCs/>
          <w:color w:val="1A1A1A"/>
          <w:spacing w:val="16"/>
          <w:sz w:val="19"/>
          <w:szCs w:val="19"/>
        </w:rPr>
        <w:t xml:space="preserve">Peer Review</w:t>
      </w:r>
    </w:p>
    <w:p>
      <w:pPr>
        <w:spacing w:after="50"/>
        <w:ind/>
      </w:pPr>
      <w:r>
        <w:rPr>
          <w:rFonts w:ascii="Cambria" w:cs="Cambria" w:eastAsia="Cambria" w:hAnsi="Cambria"/>
          <w:i w:val="false"/>
          <w:iCs w:val="false"/>
          <w:color w:val="1A1A1A"/>
          <w:sz w:val="19"/>
          <w:szCs w:val="19"/>
        </w:rPr>
        <w:t xml:space="preserve">International Journal of Communication (IJOC) · Dynamics of Asymmetric Conflict (DAC) · Feminist Media Studies (Taylor &amp; Francis) · International Communication Association (ICA) · ICEE24 — International Conference on Education and the Environment.</w:t>
      </w:r>
    </w:p>
    <w:p>
      <w:pPr>
        <w:pBdr>
          <w:bottom w:val="single" w:color="23395B" w:sz="8" w:space="3"/>
        </w:pBdr>
        <w:spacing w:after="90" w:before="240"/>
      </w:pPr>
      <w:r>
        <w:rPr>
          <w:rFonts w:ascii="Calibri" w:cs="Calibri" w:eastAsia="Calibri" w:hAnsi="Calibri"/>
          <w:b/>
          <w:bCs/>
          <w:color w:val="23395B"/>
          <w:spacing w:val="36"/>
          <w:sz w:val="21"/>
          <w:szCs w:val="21"/>
        </w:rPr>
        <w:t xml:space="preserve">CERTIFICATIONS &amp; TECHNICAL SKILLS</w:t>
      </w:r>
    </w:p>
    <w:p>
      <w:pPr>
        <w:spacing w:after="70"/>
      </w:pPr>
      <w:r>
        <w:rPr>
          <w:rFonts w:ascii="Calibri" w:cs="Calibri" w:eastAsia="Calibri" w:hAnsi="Calibri"/>
          <w:b/>
          <w:bCs/>
          <w:color w:val="23395B"/>
          <w:sz w:val="19"/>
          <w:szCs w:val="19"/>
        </w:rPr>
        <w:t xml:space="preserve">Computational &amp; Programming  </w:t>
      </w:r>
      <w:r>
        <w:rPr>
          <w:rFonts w:ascii="Cambria" w:cs="Cambria" w:eastAsia="Cambria" w:hAnsi="Cambria"/>
          <w:i w:val="false"/>
          <w:iCs w:val="false"/>
          <w:color w:val="1A1A1A"/>
          <w:sz w:val="19"/>
          <w:szCs w:val="19"/>
        </w:rPr>
        <w:t xml:space="preserve">Python (sentiment analysis, topic modeling, LDA, ML, web scraping) · R / RStudio (quantitative social science, regression, visualization, experimental analysis) · HTML · Bash · Linux/Unix · Twitter/X API · React</w:t>
      </w:r>
    </w:p>
    <w:p>
      <w:pPr>
        <w:spacing w:after="70"/>
      </w:pPr>
      <w:r>
        <w:rPr>
          <w:rFonts w:ascii="Calibri" w:cs="Calibri" w:eastAsia="Calibri" w:hAnsi="Calibri"/>
          <w:b/>
          <w:bCs/>
          <w:color w:val="23395B"/>
          <w:sz w:val="19"/>
          <w:szCs w:val="19"/>
        </w:rPr>
        <w:t xml:space="preserve">Certifications  </w:t>
      </w:r>
      <w:r>
        <w:rPr>
          <w:rFonts w:ascii="Cambria" w:cs="Cambria" w:eastAsia="Cambria" w:hAnsi="Cambria"/>
          <w:i w:val="false"/>
          <w:iCs w:val="false"/>
          <w:color w:val="1A1A1A"/>
          <w:sz w:val="19"/>
          <w:szCs w:val="19"/>
        </w:rPr>
        <w:t xml:space="preserve">AI Fluency for Educators (Anthropic, 2026) · AI Fluency for Small Business (Anthropic, 2026) · CITI Human Subjects, RCR &amp; GCP (2025–2028) · Master of Online Teaching (GSU, 2021) · Python for Data Science (Robinson College of Business, GSU) · Data Science and Analytics (Georgia Tech) · Ethical Hacking (Hacker X) · Linux &amp; Unix (DataCamp)</w:t>
      </w:r>
    </w:p>
    <w:p>
      <w:pPr>
        <w:spacing w:after="70"/>
      </w:pPr>
      <w:r>
        <w:rPr>
          <w:rFonts w:ascii="Calibri" w:cs="Calibri" w:eastAsia="Calibri" w:hAnsi="Calibri"/>
          <w:b/>
          <w:bCs/>
          <w:color w:val="23395B"/>
          <w:sz w:val="19"/>
          <w:szCs w:val="19"/>
        </w:rPr>
        <w:t xml:space="preserve">Languages  </w:t>
      </w:r>
      <w:r>
        <w:rPr>
          <w:rFonts w:ascii="Cambria" w:cs="Cambria" w:eastAsia="Cambria" w:hAnsi="Cambria"/>
          <w:i w:val="false"/>
          <w:iCs w:val="false"/>
          <w:color w:val="1A1A1A"/>
          <w:sz w:val="19"/>
          <w:szCs w:val="19"/>
        </w:rPr>
        <w:t xml:space="preserve">English (native) · Spanish (intermediate) · French (beginner) · Korean (conversational) · Mandarin (beginner) · Hebrew (beginner)</w:t>
      </w:r>
    </w:p>
    <w:p>
      <w:pPr>
        <w:pBdr>
          <w:bottom w:val="single" w:color="23395B" w:sz="8" w:space="3"/>
        </w:pBdr>
        <w:spacing w:after="90" w:before="240"/>
      </w:pPr>
      <w:r>
        <w:rPr>
          <w:rFonts w:ascii="Calibri" w:cs="Calibri" w:eastAsia="Calibri" w:hAnsi="Calibri"/>
          <w:b/>
          <w:bCs/>
          <w:color w:val="23395B"/>
          <w:spacing w:val="36"/>
          <w:sz w:val="21"/>
          <w:szCs w:val="21"/>
        </w:rPr>
        <w:t xml:space="preserve">ADDITIONAL PROFESSIONAL EXPERIENCE</w:t>
      </w:r>
    </w:p>
    <w:p>
      <w:pPr>
        <w:tabs>
          <w:tab w:val="right" w:pos="9648"/>
        </w:tabs>
        <w:spacing w:after="8" w:before="70"/>
      </w:pPr>
      <w:r>
        <w:rPr>
          <w:rFonts w:ascii="Cambria" w:cs="Cambria" w:eastAsia="Cambria" w:hAnsi="Cambria"/>
          <w:b/>
          <w:bCs/>
          <w:i w:val="false"/>
          <w:iCs w:val="false"/>
          <w:color w:val="1A1A1A"/>
          <w:sz w:val="20"/>
          <w:szCs w:val="20"/>
        </w:rPr>
        <w:t xml:space="preserve">Owner / Operator, Silverchip Multimedia</w:t>
      </w:r>
      <w:r>
        <w:tab/>
      </w:r>
      <w:r>
        <w:rPr>
          <w:rFonts w:ascii="Calibri" w:cs="Calibri" w:eastAsia="Calibri" w:hAnsi="Calibri"/>
          <w:i w:val="false"/>
          <w:iCs w:val="false"/>
          <w:color w:val="5C5C5C"/>
          <w:sz w:val="19"/>
          <w:szCs w:val="19"/>
        </w:rPr>
        <w:t xml:space="preserve">Atlanta, GA · 2017–Present</w:t>
      </w:r>
    </w:p>
    <w:p>
      <w:pPr>
        <w:spacing w:after="50"/>
        <w:ind/>
      </w:pPr>
      <w:r>
        <w:rPr>
          <w:rFonts w:ascii="Cambria" w:cs="Cambria" w:eastAsia="Cambria" w:hAnsi="Cambria"/>
          <w:i w:val="false"/>
          <w:iCs w:val="false"/>
          <w:color w:val="1A1A1A"/>
          <w:sz w:val="19"/>
          <w:szCs w:val="19"/>
        </w:rPr>
        <w:t xml:space="preserve">Tailored scripts, talent coordination, and integrated marketing communications. Clients include The Scottish Rite of Freemasonry and The Atlanta Masonic Center.</w:t>
      </w:r>
    </w:p>
    <w:p>
      <w:pPr>
        <w:tabs>
          <w:tab w:val="right" w:pos="9648"/>
        </w:tabs>
        <w:spacing w:after="8" w:before="70"/>
      </w:pPr>
      <w:r>
        <w:rPr>
          <w:rFonts w:ascii="Cambria" w:cs="Cambria" w:eastAsia="Cambria" w:hAnsi="Cambria"/>
          <w:b/>
          <w:bCs/>
          <w:i w:val="false"/>
          <w:iCs w:val="false"/>
          <w:color w:val="1A1A1A"/>
          <w:sz w:val="20"/>
          <w:szCs w:val="20"/>
        </w:rPr>
        <w:t xml:space="preserve">Staff Writer, The Vermilion</w:t>
      </w:r>
      <w:r>
        <w:tab/>
      </w:r>
      <w:r>
        <w:rPr>
          <w:rFonts w:ascii="Calibri" w:cs="Calibri" w:eastAsia="Calibri" w:hAnsi="Calibri"/>
          <w:i w:val="false"/>
          <w:iCs w:val="false"/>
          <w:color w:val="5C5C5C"/>
          <w:sz w:val="19"/>
          <w:szCs w:val="19"/>
        </w:rPr>
        <w:t xml:space="preserve">U. of Louisiana–Lafayette · 2014</w:t>
      </w:r>
    </w:p>
    <w:p>
      <w:pPr>
        <w:spacing w:after="50"/>
        <w:ind/>
      </w:pPr>
      <w:r>
        <w:rPr>
          <w:rFonts w:ascii="Cambria" w:cs="Cambria" w:eastAsia="Cambria" w:hAnsi="Cambria"/>
          <w:i w:val="false"/>
          <w:iCs w:val="false"/>
          <w:color w:val="1A1A1A"/>
          <w:sz w:val="19"/>
          <w:szCs w:val="19"/>
        </w:rPr>
        <w:t xml:space="preserve">University newspaper reporting and feature writing.</w:t>
      </w:r>
    </w:p>
    <w:p>
      <w:pPr>
        <w:pBdr>
          <w:bottom w:val="single" w:color="23395B" w:sz="8" w:space="3"/>
        </w:pBdr>
        <w:spacing w:after="90" w:before="240"/>
      </w:pPr>
      <w:r>
        <w:rPr>
          <w:rFonts w:ascii="Calibri" w:cs="Calibri" w:eastAsia="Calibri" w:hAnsi="Calibri"/>
          <w:b/>
          <w:bCs/>
          <w:color w:val="23395B"/>
          <w:spacing w:val="36"/>
          <w:sz w:val="21"/>
          <w:szCs w:val="21"/>
        </w:rPr>
        <w:t xml:space="preserve">REFERENCES</w:t>
      </w:r>
    </w:p>
    <w:p>
      <w:pPr>
        <w:tabs>
          <w:tab w:val="right" w:pos="9648"/>
        </w:tabs>
        <w:spacing w:after="8" w:before="70"/>
      </w:pPr>
      <w:r>
        <w:rPr>
          <w:rFonts w:ascii="Cambria" w:cs="Cambria" w:eastAsia="Cambria" w:hAnsi="Cambria"/>
          <w:b/>
          <w:bCs/>
          <w:i w:val="false"/>
          <w:iCs w:val="false"/>
          <w:color w:val="1A1A1A"/>
          <w:sz w:val="19"/>
          <w:szCs w:val="19"/>
        </w:rPr>
        <w:t xml:space="preserve">Prof. Dror Walter</w:t>
      </w:r>
      <w:r>
        <w:tab/>
      </w:r>
      <w:r>
        <w:rPr>
          <w:rFonts w:ascii="Calibri" w:cs="Calibri" w:eastAsia="Calibri" w:hAnsi="Calibri"/>
          <w:i w:val="false"/>
          <w:iCs w:val="false"/>
          <w:color w:val="5C5C5C"/>
          <w:sz w:val="19"/>
          <w:szCs w:val="19"/>
        </w:rPr>
        <w:t xml:space="preserve">dwalter@gsu.edu</w:t>
      </w:r>
    </w:p>
    <w:p>
      <w:pPr>
        <w:spacing w:after="60"/>
        <w:ind/>
      </w:pPr>
      <w:r>
        <w:rPr>
          <w:rFonts w:ascii="Cambria" w:cs="Cambria" w:eastAsia="Cambria" w:hAnsi="Cambria"/>
          <w:i w:val="false"/>
          <w:iCs w:val="false"/>
          <w:color w:val="5C5C5C"/>
          <w:sz w:val="18"/>
          <w:szCs w:val="18"/>
        </w:rPr>
        <w:t xml:space="preserve">Associate Professor of Communication, Georgia State University (Dissertation Chair)</w:t>
      </w:r>
    </w:p>
    <w:p>
      <w:pPr>
        <w:tabs>
          <w:tab w:val="right" w:pos="9648"/>
        </w:tabs>
        <w:spacing w:after="8" w:before="70"/>
      </w:pPr>
      <w:r>
        <w:rPr>
          <w:rFonts w:ascii="Cambria" w:cs="Cambria" w:eastAsia="Cambria" w:hAnsi="Cambria"/>
          <w:b/>
          <w:bCs/>
          <w:i w:val="false"/>
          <w:iCs w:val="false"/>
          <w:color w:val="1A1A1A"/>
          <w:sz w:val="19"/>
          <w:szCs w:val="19"/>
        </w:rPr>
        <w:t xml:space="preserve">Prof. Carol Winkler</w:t>
      </w:r>
      <w:r>
        <w:tab/>
      </w:r>
      <w:r>
        <w:rPr>
          <w:rFonts w:ascii="Calibri" w:cs="Calibri" w:eastAsia="Calibri" w:hAnsi="Calibri"/>
          <w:i w:val="false"/>
          <w:iCs w:val="false"/>
          <w:color w:val="5C5C5C"/>
          <w:sz w:val="19"/>
          <w:szCs w:val="19"/>
        </w:rPr>
        <w:t xml:space="preserve">cwinkler@gsu.edu</w:t>
      </w:r>
    </w:p>
    <w:p>
      <w:pPr>
        <w:spacing w:after="60"/>
        <w:ind/>
      </w:pPr>
      <w:r>
        <w:rPr>
          <w:rFonts w:ascii="Cambria" w:cs="Cambria" w:eastAsia="Cambria" w:hAnsi="Cambria"/>
          <w:i w:val="false"/>
          <w:iCs w:val="false"/>
          <w:color w:val="5C5C5C"/>
          <w:sz w:val="18"/>
          <w:szCs w:val="18"/>
        </w:rPr>
        <w:t xml:space="preserve">Professor, Dept. of Communication, Georgia State University</w:t>
      </w:r>
    </w:p>
    <w:p>
      <w:pPr>
        <w:tabs>
          <w:tab w:val="right" w:pos="9648"/>
        </w:tabs>
        <w:spacing w:after="8" w:before="70"/>
      </w:pPr>
      <w:r>
        <w:rPr>
          <w:rFonts w:ascii="Cambria" w:cs="Cambria" w:eastAsia="Cambria" w:hAnsi="Cambria"/>
          <w:b/>
          <w:bCs/>
          <w:i w:val="false"/>
          <w:iCs w:val="false"/>
          <w:color w:val="1A1A1A"/>
          <w:sz w:val="19"/>
          <w:szCs w:val="19"/>
        </w:rPr>
        <w:t xml:space="preserve">Prof. Farooq Kperogi</w:t>
      </w:r>
      <w:r>
        <w:tab/>
      </w:r>
      <w:r>
        <w:rPr>
          <w:rFonts w:ascii="Calibri" w:cs="Calibri" w:eastAsia="Calibri" w:hAnsi="Calibri"/>
          <w:i w:val="false"/>
          <w:iCs w:val="false"/>
          <w:color w:val="5C5C5C"/>
          <w:sz w:val="19"/>
          <w:szCs w:val="19"/>
        </w:rPr>
        <w:t xml:space="preserve">farooqkperogi@gmail.com</w:t>
      </w:r>
    </w:p>
    <w:p>
      <w:pPr>
        <w:spacing w:after="60"/>
        <w:ind/>
      </w:pPr>
      <w:r>
        <w:rPr>
          <w:rFonts w:ascii="Cambria" w:cs="Cambria" w:eastAsia="Cambria" w:hAnsi="Cambria"/>
          <w:i w:val="false"/>
          <w:iCs w:val="false"/>
          <w:color w:val="5C5C5C"/>
          <w:sz w:val="18"/>
          <w:szCs w:val="18"/>
        </w:rPr>
        <w:t xml:space="preserve">Professor of Communication, Kennesaw State University</w:t>
      </w:r>
    </w:p>
    <w:p>
      <w:pPr>
        <w:tabs>
          <w:tab w:val="right" w:pos="9648"/>
        </w:tabs>
        <w:spacing w:after="8" w:before="70"/>
      </w:pPr>
      <w:r>
        <w:rPr>
          <w:rFonts w:ascii="Cambria" w:cs="Cambria" w:eastAsia="Cambria" w:hAnsi="Cambria"/>
          <w:b/>
          <w:bCs/>
          <w:i w:val="false"/>
          <w:iCs w:val="false"/>
          <w:color w:val="1A1A1A"/>
          <w:sz w:val="19"/>
          <w:szCs w:val="19"/>
        </w:rPr>
        <w:t xml:space="preserve">Amb. Goronyo Auwal Ibrahim</w:t>
      </w:r>
      <w:r>
        <w:tab/>
      </w:r>
      <w:r>
        <w:rPr>
          <w:rFonts w:ascii="Calibri" w:cs="Calibri" w:eastAsia="Calibri" w:hAnsi="Calibri"/>
          <w:i w:val="false"/>
          <w:iCs w:val="false"/>
          <w:color w:val="5C5C5C"/>
          <w:sz w:val="19"/>
          <w:szCs w:val="19"/>
        </w:rPr>
        <w:t xml:space="preserve">auwalahmed@kadunapolytechnic.edu.ng</w:t>
      </w:r>
    </w:p>
    <w:p>
      <w:pPr>
        <w:spacing w:after="60"/>
        <w:ind/>
      </w:pPr>
      <w:r>
        <w:rPr>
          <w:rFonts w:ascii="Cambria" w:cs="Cambria" w:eastAsia="Cambria" w:hAnsi="Cambria"/>
          <w:i w:val="false"/>
          <w:iCs w:val="false"/>
          <w:color w:val="5C5C5C"/>
          <w:sz w:val="18"/>
          <w:szCs w:val="18"/>
        </w:rPr>
        <w:t xml:space="preserve">Kaduna Polytechnic</w:t>
      </w:r>
    </w:p>
    <w:p>
      <w:pPr>
        <w:tabs>
          <w:tab w:val="right" w:pos="9648"/>
        </w:tabs>
        <w:spacing w:after="8" w:before="70"/>
      </w:pPr>
      <w:r>
        <w:rPr>
          <w:rFonts w:ascii="Cambria" w:cs="Cambria" w:eastAsia="Cambria" w:hAnsi="Cambria"/>
          <w:b/>
          <w:bCs/>
          <w:i w:val="false"/>
          <w:iCs w:val="false"/>
          <w:color w:val="1A1A1A"/>
          <w:sz w:val="19"/>
          <w:szCs w:val="19"/>
        </w:rPr>
        <w:t xml:space="preserve">Prof. Tyler Adams</w:t>
      </w:r>
      <w:r>
        <w:tab/>
      </w:r>
      <w:r>
        <w:rPr>
          <w:rFonts w:ascii="Calibri" w:cs="Calibri" w:eastAsia="Calibri" w:hAnsi="Calibri"/>
          <w:i w:val="false"/>
          <w:iCs w:val="false"/>
          <w:color w:val="5C5C5C"/>
          <w:sz w:val="19"/>
          <w:szCs w:val="19"/>
        </w:rPr>
        <w:t xml:space="preserve">tyadams.334@gmail.com</w:t>
      </w:r>
    </w:p>
    <w:p>
      <w:pPr>
        <w:spacing w:after="60"/>
        <w:ind/>
      </w:pPr>
      <w:r>
        <w:rPr>
          <w:rFonts w:ascii="Cambria" w:cs="Cambria" w:eastAsia="Cambria" w:hAnsi="Cambria"/>
          <w:i w:val="false"/>
          <w:iCs w:val="false"/>
          <w:color w:val="5C5C5C"/>
          <w:sz w:val="18"/>
          <w:szCs w:val="18"/>
        </w:rPr>
        <w:t xml:space="preserve">Retired Dean; Fulbright Scholar</w:t>
      </w:r>
    </w:p>
    <w:p>
      <w:pPr>
        <w:tabs>
          <w:tab w:val="right" w:pos="9648"/>
        </w:tabs>
        <w:spacing w:after="8" w:before="70"/>
      </w:pPr>
      <w:r>
        <w:rPr>
          <w:rFonts w:ascii="Cambria" w:cs="Cambria" w:eastAsia="Cambria" w:hAnsi="Cambria"/>
          <w:b/>
          <w:bCs/>
          <w:i w:val="false"/>
          <w:iCs w:val="false"/>
          <w:color w:val="1A1A1A"/>
          <w:sz w:val="19"/>
          <w:szCs w:val="19"/>
        </w:rPr>
        <w:t xml:space="preserve">Prof. Rasha Ramzy</w:t>
      </w:r>
      <w:r>
        <w:tab/>
      </w:r>
      <w:r>
        <w:rPr>
          <w:rFonts w:ascii="Calibri" w:cs="Calibri" w:eastAsia="Calibri" w:hAnsi="Calibri"/>
          <w:i w:val="false"/>
          <w:iCs w:val="false"/>
          <w:color w:val="5C5C5C"/>
          <w:sz w:val="19"/>
          <w:szCs w:val="19"/>
        </w:rPr>
        <w:t xml:space="preserve">RRamzy1@gsu.edu</w:t>
      </w:r>
    </w:p>
    <w:p>
      <w:pPr>
        <w:spacing w:after="60"/>
        <w:ind/>
      </w:pPr>
      <w:r>
        <w:rPr>
          <w:rFonts w:ascii="Cambria" w:cs="Cambria" w:eastAsia="Cambria" w:hAnsi="Cambria"/>
          <w:i w:val="false"/>
          <w:iCs w:val="false"/>
          <w:color w:val="5C5C5C"/>
          <w:sz w:val="18"/>
          <w:szCs w:val="18"/>
        </w:rPr>
        <w:t xml:space="preserve">Department Head, Dept. of Communication, Georgia State University</w:t>
      </w:r>
    </w:p>
    <w:sectPr>
      <w:footerReference w:type="default" r:id="rId7"/>
      <w:pgSz w:w="12240" w:h="15840" w:orient="portrait"/>
      <w:pgMar w:top="1080" w:right="1296" w:bottom="1080" w:left="1296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CCCCC" w:sz="4" w:space="6"/>
      </w:pBdr>
      <w:tabs>
        <w:tab w:val="right" w:pos="9648"/>
      </w:tabs>
      <w:spacing w:before="60"/>
    </w:pPr>
    <w:r>
      <w:rPr>
        <w:rFonts w:ascii="Calibri" w:cs="Calibri" w:eastAsia="Calibri" w:hAnsi="Calibri"/>
        <w:color w:val="5C5C5C"/>
        <w:sz w:val="15"/>
        <w:szCs w:val="15"/>
      </w:rPr>
      <w:t xml:space="preserve">Ryan J. Gautreaux  ·  Curriculum Vitae</w:t>
    </w:r>
    <w:r>
      <w:tab/>
    </w:r>
    <w:r>
      <w:rPr>
        <w:rFonts w:ascii="Calibri" w:cs="Calibri" w:eastAsia="Calibri" w:hAnsi="Calibri"/>
        <w:color w:val="5C5C5C"/>
        <w:sz w:val="15"/>
        <w:szCs w:val="15"/>
      </w:rPr>
      <w:t xml:space="preserve">Page </w:t>
      <w:fldChar w:fldCharType="begin"/>
      <w:instrText xml:space="preserve">PAGE</w:instrText>
      <w:fldChar w:fldCharType="separate"/>
      <w:fldChar w:fldCharType="end"/>
      <w:t xml:space="preserve"> of </w:t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cs="Cambria" w:eastAsia="Cambria" w:hAnsi="Cambria"/>
        <w:color w:val="1A1A1A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rhf8kwrunl88yysuzza72" Type="http://schemas.openxmlformats.org/officeDocument/2006/relationships/hyperlink" Target="https://orcid.org/0000-0002-2804-4668" TargetMode="External"/><Relationship Id="rId4uspi_si54gecrfzjrums" Type="http://schemas.openxmlformats.org/officeDocument/2006/relationships/hyperlink" Target="https://scholar.google.com/citations?user=CSgLibcAAAAJ" TargetMode="External"/><Relationship Id="rId_fik-pnoye0b29zaldxjq" Type="http://schemas.openxmlformats.org/officeDocument/2006/relationships/hyperlink" Target="https://github.com/RyanGautreaux" TargetMode="External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2026-06-15T20:54:09.047Z</dcterms:created>
  <dcterms:modified xsi:type="dcterms:W3CDTF">2026-06-15T20:54:09.047Z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